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231184836"/>
    <w:bookmarkStart w:id="1" w:name="_MON_1231184913"/>
    <w:bookmarkStart w:id="2" w:name="_MON_1238434392"/>
    <w:bookmarkStart w:id="3" w:name="_MON_1238434662"/>
    <w:bookmarkStart w:id="4" w:name="_MON_1252867714"/>
    <w:bookmarkStart w:id="5" w:name="_MON_1301937154"/>
    <w:bookmarkStart w:id="6" w:name="_MON_1301937233"/>
    <w:bookmarkStart w:id="7" w:name="_MON_1301937332"/>
    <w:bookmarkStart w:id="8" w:name="_MON_1301937386"/>
    <w:bookmarkStart w:id="9" w:name="_MON_1301937409"/>
    <w:bookmarkStart w:id="10" w:name="_MON_1301938247"/>
    <w:bookmarkStart w:id="11" w:name="_MON_1357578261"/>
    <w:bookmarkStart w:id="12" w:name="_MON_1231182667"/>
    <w:bookmarkStart w:id="13" w:name="_MON_1231182695"/>
    <w:bookmarkStart w:id="14" w:name="_MON_1231182702"/>
    <w:bookmarkStart w:id="15" w:name="_MON_1231182722"/>
    <w:bookmarkStart w:id="16" w:name="_MON_123118294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Start w:id="17" w:name="_MON_1231183012"/>
    <w:bookmarkEnd w:id="17"/>
    <w:p w14:paraId="548C0693" w14:textId="77777777" w:rsidR="00A5481A" w:rsidRPr="00FA1540" w:rsidRDefault="00EC30D1" w:rsidP="00E325CF">
      <w:pPr>
        <w:ind w:left="-360" w:right="-180"/>
        <w:rPr>
          <w:sz w:val="16"/>
          <w:szCs w:val="16"/>
        </w:rPr>
      </w:pPr>
      <w:r w:rsidRPr="00D265BB">
        <w:object w:dxaOrig="14595" w:dyaOrig="2205" w14:anchorId="339FED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9.75pt;height:110.25pt" o:ole="">
            <v:imagedata r:id="rId8" o:title=""/>
          </v:shape>
          <o:OLEObject Type="Embed" ProgID="Word.Document.8" ShapeID="_x0000_i1025" DrawAspect="Content" ObjectID="_1552934916" r:id="rId9">
            <o:FieldCodes>\s</o:FieldCodes>
          </o:OLEObject>
        </w:object>
      </w:r>
    </w:p>
    <w:tbl>
      <w:tblPr>
        <w:tblW w:w="14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3780"/>
        <w:gridCol w:w="3780"/>
        <w:gridCol w:w="2700"/>
        <w:gridCol w:w="2610"/>
        <w:gridCol w:w="1206"/>
      </w:tblGrid>
      <w:tr w:rsidR="00BA340E" w:rsidRPr="00C02132" w14:paraId="25E5AB75" w14:textId="77777777" w:rsidTr="00F22B45">
        <w:trPr>
          <w:tblHeader/>
          <w:jc w:val="center"/>
        </w:trPr>
        <w:tc>
          <w:tcPr>
            <w:tcW w:w="612" w:type="dxa"/>
            <w:tcBorders>
              <w:top w:val="single" w:sz="4" w:space="0" w:color="FF0000"/>
              <w:left w:val="single" w:sz="4" w:space="0" w:color="FF0000"/>
              <w:bottom w:val="single" w:sz="4" w:space="0" w:color="FF0000"/>
              <w:right w:val="single" w:sz="4" w:space="0" w:color="FF0000"/>
            </w:tcBorders>
            <w:shd w:val="clear" w:color="auto" w:fill="D60030"/>
            <w:vAlign w:val="center"/>
          </w:tcPr>
          <w:p w14:paraId="1AE51CF5" w14:textId="77777777" w:rsidR="00BB0667" w:rsidRPr="00491DD2" w:rsidRDefault="00BB0667" w:rsidP="00EA5B96">
            <w:pPr>
              <w:pStyle w:val="StyleAC-table-hed85ptWhiteCentered"/>
              <w:rPr>
                <w:rFonts w:ascii="Univers LT Std 57 Cn" w:hAnsi="Univers LT Std 57 Cn"/>
                <w:b/>
              </w:rPr>
            </w:pPr>
            <w:r w:rsidRPr="00491DD2">
              <w:rPr>
                <w:rFonts w:ascii="Univers LT Std 57 Cn" w:hAnsi="Univers LT Std 57 Cn"/>
                <w:b/>
              </w:rPr>
              <w:t>No.</w:t>
            </w:r>
          </w:p>
        </w:tc>
        <w:tc>
          <w:tcPr>
            <w:tcW w:w="3780" w:type="dxa"/>
            <w:tcBorders>
              <w:top w:val="single" w:sz="4" w:space="0" w:color="FF0000"/>
              <w:left w:val="single" w:sz="4" w:space="0" w:color="FF0000"/>
              <w:bottom w:val="single" w:sz="4" w:space="0" w:color="FF0000"/>
              <w:right w:val="single" w:sz="4" w:space="0" w:color="FF0000"/>
            </w:tcBorders>
            <w:shd w:val="clear" w:color="auto" w:fill="960022"/>
            <w:vAlign w:val="center"/>
          </w:tcPr>
          <w:p w14:paraId="62949787" w14:textId="77777777" w:rsidR="00BB0667" w:rsidRPr="00491DD2" w:rsidRDefault="00BB0667" w:rsidP="00EA5B96">
            <w:pPr>
              <w:pStyle w:val="AC-table-hed"/>
              <w:tabs>
                <w:tab w:val="clear" w:pos="5735"/>
                <w:tab w:val="clear" w:pos="7906"/>
                <w:tab w:val="clear" w:pos="10080"/>
              </w:tabs>
              <w:jc w:val="center"/>
              <w:rPr>
                <w:rFonts w:ascii="Univers LT Std 57 Cn" w:hAnsi="Univers LT Std 57 Cn"/>
                <w:b/>
                <w:color w:val="FFFFFF"/>
              </w:rPr>
            </w:pPr>
            <w:r w:rsidRPr="00491DD2">
              <w:rPr>
                <w:rFonts w:ascii="Univers LT Std 57 Cn" w:hAnsi="Univers LT Std 57 Cn"/>
                <w:b/>
                <w:color w:val="FFFFFF"/>
              </w:rPr>
              <w:t>Problem</w:t>
            </w:r>
          </w:p>
        </w:tc>
        <w:tc>
          <w:tcPr>
            <w:tcW w:w="3780" w:type="dxa"/>
            <w:tcBorders>
              <w:top w:val="single" w:sz="4" w:space="0" w:color="FF0000"/>
              <w:left w:val="single" w:sz="4" w:space="0" w:color="FF0000"/>
              <w:bottom w:val="single" w:sz="4" w:space="0" w:color="FF0000"/>
              <w:right w:val="single" w:sz="4" w:space="0" w:color="FF0000"/>
            </w:tcBorders>
            <w:shd w:val="clear" w:color="auto" w:fill="D60030"/>
            <w:vAlign w:val="center"/>
          </w:tcPr>
          <w:p w14:paraId="7985FC8B" w14:textId="77777777" w:rsidR="00BB0667" w:rsidRPr="00491DD2" w:rsidRDefault="00BB0667" w:rsidP="00EA5B96">
            <w:pPr>
              <w:pStyle w:val="AC-table-hed"/>
              <w:tabs>
                <w:tab w:val="clear" w:pos="5735"/>
                <w:tab w:val="clear" w:pos="7906"/>
                <w:tab w:val="clear" w:pos="10080"/>
              </w:tabs>
              <w:jc w:val="center"/>
              <w:rPr>
                <w:rFonts w:ascii="Univers LT Std 57 Cn" w:hAnsi="Univers LT Std 57 Cn"/>
                <w:b/>
                <w:color w:val="FFFFFF"/>
              </w:rPr>
            </w:pPr>
            <w:r w:rsidRPr="00491DD2">
              <w:rPr>
                <w:rFonts w:ascii="Univers LT Std 57 Cn" w:hAnsi="Univers LT Std 57 Cn"/>
                <w:b/>
                <w:color w:val="FFFFFF"/>
              </w:rPr>
              <w:t>Recommendation</w:t>
            </w:r>
          </w:p>
        </w:tc>
        <w:tc>
          <w:tcPr>
            <w:tcW w:w="2700" w:type="dxa"/>
            <w:tcBorders>
              <w:top w:val="single" w:sz="4" w:space="0" w:color="FF0000"/>
              <w:left w:val="single" w:sz="4" w:space="0" w:color="FF0000"/>
              <w:bottom w:val="single" w:sz="4" w:space="0" w:color="FF0000"/>
              <w:right w:val="single" w:sz="4" w:space="0" w:color="FF0000"/>
            </w:tcBorders>
            <w:shd w:val="clear" w:color="auto" w:fill="960022"/>
            <w:vAlign w:val="center"/>
          </w:tcPr>
          <w:p w14:paraId="24364CEB" w14:textId="77777777" w:rsidR="00BB0667" w:rsidRPr="00491DD2" w:rsidRDefault="00BB0667" w:rsidP="00EA5B96">
            <w:pPr>
              <w:pStyle w:val="AC-table-hed"/>
              <w:tabs>
                <w:tab w:val="clear" w:pos="5735"/>
                <w:tab w:val="clear" w:pos="7906"/>
                <w:tab w:val="clear" w:pos="10080"/>
              </w:tabs>
              <w:jc w:val="center"/>
              <w:rPr>
                <w:rFonts w:ascii="Univers LT Std 57 Cn" w:hAnsi="Univers LT Std 57 Cn"/>
                <w:b/>
                <w:color w:val="FFFFFF"/>
              </w:rPr>
            </w:pPr>
            <w:r w:rsidRPr="00491DD2">
              <w:rPr>
                <w:rFonts w:ascii="Univers LT Std 57 Cn" w:hAnsi="Univers LT Std 57 Cn"/>
                <w:b/>
                <w:color w:val="FFFFFF"/>
              </w:rPr>
              <w:t>Organization Assessment</w:t>
            </w:r>
          </w:p>
        </w:tc>
        <w:tc>
          <w:tcPr>
            <w:tcW w:w="2610" w:type="dxa"/>
            <w:tcBorders>
              <w:top w:val="single" w:sz="4" w:space="0" w:color="FF0000"/>
              <w:left w:val="single" w:sz="4" w:space="0" w:color="FF0000"/>
              <w:bottom w:val="single" w:sz="4" w:space="0" w:color="FF0000"/>
              <w:right w:val="single" w:sz="4" w:space="0" w:color="FF0000"/>
            </w:tcBorders>
            <w:shd w:val="clear" w:color="auto" w:fill="D60030"/>
          </w:tcPr>
          <w:p w14:paraId="5231A6EA" w14:textId="77777777" w:rsidR="00BB0667" w:rsidRPr="00491DD2" w:rsidRDefault="00BB0667" w:rsidP="008C5601">
            <w:pPr>
              <w:pStyle w:val="AC-table-hed"/>
              <w:tabs>
                <w:tab w:val="clear" w:pos="5735"/>
                <w:tab w:val="clear" w:pos="7906"/>
                <w:tab w:val="clear" w:pos="10080"/>
              </w:tabs>
              <w:jc w:val="center"/>
              <w:rPr>
                <w:rFonts w:ascii="Univers LT Std 57 Cn" w:hAnsi="Univers LT Std 57 Cn"/>
                <w:b/>
                <w:color w:val="FFFFFF"/>
              </w:rPr>
            </w:pPr>
            <w:r w:rsidRPr="00491DD2">
              <w:rPr>
                <w:rFonts w:ascii="Univers LT Std 57 Cn" w:hAnsi="Univers LT Std 57 Cn"/>
                <w:b/>
                <w:color w:val="FFFFFF"/>
              </w:rPr>
              <w:t>Action Required/</w:t>
            </w:r>
            <w:r w:rsidR="008219D3" w:rsidRPr="00491DD2">
              <w:rPr>
                <w:rFonts w:ascii="Univers LT Std 57 Cn" w:hAnsi="Univers LT Std 57 Cn"/>
                <w:b/>
                <w:color w:val="FFFFFF"/>
              </w:rPr>
              <w:t xml:space="preserve"> </w:t>
            </w:r>
            <w:r w:rsidRPr="00491DD2">
              <w:rPr>
                <w:rFonts w:ascii="Univers LT Std 57 Cn" w:hAnsi="Univers LT Std 57 Cn"/>
                <w:b/>
                <w:color w:val="FFFFFF"/>
              </w:rPr>
              <w:t>Assignment</w:t>
            </w:r>
          </w:p>
        </w:tc>
        <w:tc>
          <w:tcPr>
            <w:tcW w:w="1206" w:type="dxa"/>
            <w:tcBorders>
              <w:top w:val="single" w:sz="4" w:space="0" w:color="FF0000"/>
              <w:left w:val="single" w:sz="4" w:space="0" w:color="FF0000"/>
              <w:bottom w:val="single" w:sz="4" w:space="0" w:color="FF0000"/>
              <w:right w:val="single" w:sz="4" w:space="0" w:color="FF0000"/>
            </w:tcBorders>
            <w:shd w:val="clear" w:color="auto" w:fill="960022"/>
          </w:tcPr>
          <w:p w14:paraId="55DD4D27" w14:textId="77777777" w:rsidR="00BB0667" w:rsidRPr="00491DD2" w:rsidRDefault="00BB0667" w:rsidP="008C5601">
            <w:pPr>
              <w:pStyle w:val="AC-table-hed"/>
              <w:tabs>
                <w:tab w:val="clear" w:pos="5735"/>
                <w:tab w:val="clear" w:pos="7906"/>
                <w:tab w:val="clear" w:pos="10080"/>
              </w:tabs>
              <w:jc w:val="center"/>
              <w:rPr>
                <w:rFonts w:ascii="Univers LT Std 57 Cn" w:hAnsi="Univers LT Std 57 Cn"/>
                <w:b/>
                <w:color w:val="FFFFFF"/>
                <w:sz w:val="14"/>
                <w:szCs w:val="14"/>
              </w:rPr>
            </w:pPr>
            <w:r w:rsidRPr="00491DD2">
              <w:rPr>
                <w:rFonts w:ascii="Univers LT Std 57 Cn" w:hAnsi="Univers LT Std 57 Cn"/>
                <w:b/>
                <w:color w:val="FFFFFF"/>
                <w:sz w:val="14"/>
                <w:szCs w:val="14"/>
              </w:rPr>
              <w:t>Date Completed</w:t>
            </w:r>
          </w:p>
        </w:tc>
      </w:tr>
      <w:tr w:rsidR="00EC30D1" w:rsidRPr="00473B6D" w14:paraId="5C8CC6C9" w14:textId="77777777" w:rsidTr="008C5601">
        <w:trPr>
          <w:jc w:val="center"/>
        </w:trPr>
        <w:tc>
          <w:tcPr>
            <w:tcW w:w="14688" w:type="dxa"/>
            <w:gridSpan w:val="6"/>
            <w:tcBorders>
              <w:top w:val="single" w:sz="4" w:space="0" w:color="FF0000"/>
              <w:left w:val="single" w:sz="4" w:space="0" w:color="FF0000"/>
              <w:bottom w:val="single" w:sz="4" w:space="0" w:color="FF0000"/>
              <w:right w:val="single" w:sz="4" w:space="0" w:color="FF0000"/>
            </w:tcBorders>
            <w:shd w:val="clear" w:color="auto" w:fill="EACB8B"/>
          </w:tcPr>
          <w:p w14:paraId="76EF7C9F" w14:textId="77777777" w:rsidR="00EC30D1" w:rsidRPr="000A73CF" w:rsidRDefault="00EC30D1" w:rsidP="00335D64">
            <w:pPr>
              <w:pStyle w:val="AGENDA-table-titles"/>
              <w:tabs>
                <w:tab w:val="clear" w:pos="5735"/>
                <w:tab w:val="clear" w:pos="7906"/>
                <w:tab w:val="clear" w:pos="10080"/>
              </w:tabs>
            </w:pPr>
            <w:r w:rsidRPr="000A73CF">
              <w:t xml:space="preserve">Using information from external errors to signal a “clear and present danger” </w:t>
            </w:r>
          </w:p>
        </w:tc>
      </w:tr>
      <w:tr w:rsidR="00EC30D1" w:rsidRPr="00C02132" w14:paraId="16A2D75C" w14:textId="77777777" w:rsidTr="00F22B45">
        <w:trPr>
          <w:jc w:val="center"/>
        </w:trPr>
        <w:tc>
          <w:tcPr>
            <w:tcW w:w="612" w:type="dxa"/>
            <w:tcBorders>
              <w:top w:val="single" w:sz="4" w:space="0" w:color="FF0000"/>
              <w:left w:val="single" w:sz="4" w:space="0" w:color="FF0000"/>
              <w:bottom w:val="single" w:sz="4" w:space="0" w:color="FF0000"/>
              <w:right w:val="single" w:sz="4" w:space="0" w:color="FF0000"/>
            </w:tcBorders>
            <w:shd w:val="clear" w:color="auto" w:fill="F0EBD3"/>
          </w:tcPr>
          <w:p w14:paraId="1FB303EF" w14:textId="77777777" w:rsidR="00EC30D1" w:rsidRPr="000A73CF" w:rsidRDefault="00EC30D1" w:rsidP="00335D64">
            <w:pPr>
              <w:pStyle w:val="AGENDA-body"/>
              <w:tabs>
                <w:tab w:val="clear" w:pos="5735"/>
                <w:tab w:val="clear" w:pos="7906"/>
                <w:tab w:val="clear" w:pos="10080"/>
              </w:tabs>
            </w:pPr>
            <w:r w:rsidRPr="000A73CF">
              <w:t>(3)</w:t>
            </w:r>
          </w:p>
        </w:tc>
        <w:tc>
          <w:tcPr>
            <w:tcW w:w="3780" w:type="dxa"/>
            <w:tcBorders>
              <w:top w:val="single" w:sz="4" w:space="0" w:color="FF0000"/>
              <w:left w:val="single" w:sz="4" w:space="0" w:color="FF0000"/>
              <w:bottom w:val="single" w:sz="4" w:space="0" w:color="FF0000"/>
              <w:right w:val="single" w:sz="4" w:space="0" w:color="FF0000"/>
            </w:tcBorders>
            <w:shd w:val="clear" w:color="auto" w:fill="FFF3D6"/>
          </w:tcPr>
          <w:p w14:paraId="31AAA56B" w14:textId="77777777" w:rsidR="008D61D0" w:rsidRDefault="00EC30D1" w:rsidP="002D503B">
            <w:pPr>
              <w:pStyle w:val="AGENDA-body"/>
              <w:tabs>
                <w:tab w:val="clear" w:pos="5735"/>
                <w:tab w:val="clear" w:pos="7906"/>
                <w:tab w:val="clear" w:pos="10080"/>
              </w:tabs>
              <w:rPr>
                <w:rFonts w:asciiTheme="minorHAnsi" w:hAnsiTheme="minorHAnsi" w:cstheme="minorHAnsi"/>
                <w:spacing w:val="-7"/>
                <w:sz w:val="22"/>
                <w:szCs w:val="22"/>
              </w:rPr>
            </w:pPr>
            <w:r w:rsidRPr="002D503B">
              <w:rPr>
                <w:rFonts w:asciiTheme="minorHAnsi" w:hAnsiTheme="minorHAnsi" w:cstheme="minorHAnsi"/>
                <w:spacing w:val="-7"/>
                <w:sz w:val="22"/>
                <w:szCs w:val="22"/>
              </w:rPr>
              <w:t>Despite repeated descriptions of harmful and fatal errors in publications, many organizations fail to use this information to decrease the risk of similar errors. Attribution biases that cloud the way we judge the behavior of others when errors happen often thwart our ability to learn from their mistakes. Although the Centers for Medicare &amp; Medicaid Services (CMS) requires organizations to be aware of external errors and alerts, recommended actions go unheeded by those who f</w:t>
            </w:r>
            <w:r w:rsidR="002D503B" w:rsidRPr="002D503B">
              <w:rPr>
                <w:rFonts w:asciiTheme="minorHAnsi" w:hAnsiTheme="minorHAnsi" w:cstheme="minorHAnsi"/>
                <w:spacing w:val="-7"/>
                <w:sz w:val="22"/>
                <w:szCs w:val="22"/>
              </w:rPr>
              <w:t>eel they don’t apply to them.</w:t>
            </w:r>
          </w:p>
          <w:p w14:paraId="7A98B92F" w14:textId="77777777" w:rsidR="002D503B" w:rsidRPr="002D503B" w:rsidRDefault="002D503B" w:rsidP="002D503B">
            <w:pPr>
              <w:pStyle w:val="AGENDA-body"/>
              <w:tabs>
                <w:tab w:val="clear" w:pos="5735"/>
                <w:tab w:val="clear" w:pos="7906"/>
                <w:tab w:val="clear" w:pos="10080"/>
              </w:tabs>
              <w:rPr>
                <w:rFonts w:asciiTheme="minorHAnsi" w:hAnsiTheme="minorHAnsi" w:cstheme="minorHAnsi"/>
                <w:spacing w:val="-7"/>
                <w:sz w:val="22"/>
                <w:szCs w:val="22"/>
              </w:rPr>
            </w:pPr>
          </w:p>
        </w:tc>
        <w:tc>
          <w:tcPr>
            <w:tcW w:w="3780" w:type="dxa"/>
            <w:tcBorders>
              <w:top w:val="single" w:sz="4" w:space="0" w:color="FF0000"/>
              <w:left w:val="single" w:sz="4" w:space="0" w:color="FF0000"/>
              <w:bottom w:val="single" w:sz="4" w:space="0" w:color="FF0000"/>
              <w:right w:val="single" w:sz="4" w:space="0" w:color="FF0000"/>
            </w:tcBorders>
            <w:shd w:val="clear" w:color="auto" w:fill="F0EBD3"/>
          </w:tcPr>
          <w:p w14:paraId="50052C92" w14:textId="77777777" w:rsidR="00EC30D1" w:rsidRPr="002D503B" w:rsidRDefault="00EC30D1" w:rsidP="00335D64">
            <w:pPr>
              <w:pStyle w:val="AGENDA-body"/>
              <w:tabs>
                <w:tab w:val="clear" w:pos="5735"/>
                <w:tab w:val="clear" w:pos="7906"/>
                <w:tab w:val="clear" w:pos="10080"/>
              </w:tabs>
              <w:rPr>
                <w:rFonts w:asciiTheme="minorHAnsi" w:hAnsiTheme="minorHAnsi" w:cstheme="minorHAnsi"/>
                <w:sz w:val="22"/>
                <w:szCs w:val="22"/>
              </w:rPr>
            </w:pPr>
            <w:r w:rsidRPr="002D503B">
              <w:rPr>
                <w:rFonts w:asciiTheme="minorHAnsi" w:hAnsiTheme="minorHAnsi" w:cstheme="minorHAnsi"/>
                <w:spacing w:val="-7"/>
                <w:sz w:val="22"/>
                <w:szCs w:val="22"/>
              </w:rPr>
              <w:t xml:space="preserve">Establish a systematic way to review information about external errors and assess the organization’s vulnerability to similar errors. Identify reliable sources of information about external errors, such as ISMP newsletters and the Quarterly Action Agenda, alerts from the US Food and Drug Admin-istration, The Joint Commission, and peer-reviewed journals. Assign a medication safety officer to review these sources to understand how and why errors happened, and determine an action </w:t>
            </w:r>
            <w:r w:rsidRPr="002D503B">
              <w:rPr>
                <w:rFonts w:asciiTheme="minorHAnsi" w:hAnsiTheme="minorHAnsi" w:cstheme="minorHAnsi"/>
                <w:sz w:val="22"/>
                <w:szCs w:val="22"/>
              </w:rPr>
              <w:t xml:space="preserve">plan. </w:t>
            </w:r>
          </w:p>
        </w:tc>
        <w:tc>
          <w:tcPr>
            <w:tcW w:w="2700" w:type="dxa"/>
            <w:tcBorders>
              <w:top w:val="single" w:sz="4" w:space="0" w:color="FF0000"/>
              <w:left w:val="single" w:sz="4" w:space="0" w:color="FF0000"/>
              <w:bottom w:val="single" w:sz="4" w:space="0" w:color="FF0000"/>
              <w:right w:val="single" w:sz="4" w:space="0" w:color="FF0000"/>
            </w:tcBorders>
          </w:tcPr>
          <w:p w14:paraId="718BB77A" w14:textId="77777777" w:rsidR="00EC30D1" w:rsidRPr="00C02132" w:rsidRDefault="00EC30D1" w:rsidP="008C5601">
            <w:pPr>
              <w:pStyle w:val="AC-table-body"/>
              <w:tabs>
                <w:tab w:val="clear" w:pos="5735"/>
                <w:tab w:val="clear" w:pos="7906"/>
                <w:tab w:val="clear" w:pos="10080"/>
              </w:tabs>
            </w:pPr>
            <w:r>
              <w:t xml:space="preserve"> </w:t>
            </w:r>
          </w:p>
        </w:tc>
        <w:tc>
          <w:tcPr>
            <w:tcW w:w="2610" w:type="dxa"/>
            <w:tcBorders>
              <w:top w:val="single" w:sz="4" w:space="0" w:color="FF0000"/>
              <w:left w:val="single" w:sz="4" w:space="0" w:color="FF0000"/>
              <w:bottom w:val="single" w:sz="4" w:space="0" w:color="FF0000"/>
              <w:right w:val="single" w:sz="4" w:space="0" w:color="FF0000"/>
            </w:tcBorders>
          </w:tcPr>
          <w:p w14:paraId="180AA661" w14:textId="77777777" w:rsidR="00EC30D1" w:rsidRPr="00C02132" w:rsidRDefault="00EC30D1" w:rsidP="008C5601">
            <w:pPr>
              <w:pStyle w:val="AC-table-body"/>
              <w:tabs>
                <w:tab w:val="clear" w:pos="5735"/>
                <w:tab w:val="clear" w:pos="7906"/>
                <w:tab w:val="clear" w:pos="10080"/>
              </w:tabs>
            </w:pPr>
          </w:p>
        </w:tc>
        <w:tc>
          <w:tcPr>
            <w:tcW w:w="1206" w:type="dxa"/>
            <w:tcBorders>
              <w:top w:val="single" w:sz="4" w:space="0" w:color="FF0000"/>
              <w:left w:val="single" w:sz="4" w:space="0" w:color="FF0000"/>
              <w:bottom w:val="single" w:sz="4" w:space="0" w:color="FF0000"/>
              <w:right w:val="single" w:sz="4" w:space="0" w:color="FF0000"/>
            </w:tcBorders>
          </w:tcPr>
          <w:p w14:paraId="6B9D8FCF" w14:textId="77777777" w:rsidR="00EC30D1" w:rsidRPr="00C02132" w:rsidRDefault="00EC30D1" w:rsidP="008C5601">
            <w:pPr>
              <w:pStyle w:val="AC-table-body"/>
              <w:tabs>
                <w:tab w:val="clear" w:pos="5735"/>
                <w:tab w:val="clear" w:pos="7906"/>
                <w:tab w:val="clear" w:pos="10080"/>
              </w:tabs>
            </w:pPr>
          </w:p>
        </w:tc>
      </w:tr>
      <w:tr w:rsidR="003354EC" w:rsidRPr="00C02132" w14:paraId="4DBFF6B4" w14:textId="77777777" w:rsidTr="008C5601">
        <w:trPr>
          <w:jc w:val="center"/>
        </w:trPr>
        <w:tc>
          <w:tcPr>
            <w:tcW w:w="14688" w:type="dxa"/>
            <w:gridSpan w:val="6"/>
            <w:tcBorders>
              <w:top w:val="single" w:sz="4" w:space="0" w:color="FF0000"/>
              <w:left w:val="single" w:sz="4" w:space="0" w:color="FF0000"/>
              <w:bottom w:val="single" w:sz="4" w:space="0" w:color="FF0000"/>
              <w:right w:val="single" w:sz="4" w:space="0" w:color="FF0000"/>
            </w:tcBorders>
            <w:shd w:val="clear" w:color="auto" w:fill="EACB8B"/>
          </w:tcPr>
          <w:p w14:paraId="002CB247" w14:textId="77777777" w:rsidR="003354EC" w:rsidRPr="000A73CF" w:rsidRDefault="003354EC" w:rsidP="00335D64">
            <w:pPr>
              <w:pStyle w:val="AGENDA-table-titles"/>
              <w:tabs>
                <w:tab w:val="clear" w:pos="5735"/>
                <w:tab w:val="clear" w:pos="7906"/>
                <w:tab w:val="clear" w:pos="10080"/>
              </w:tabs>
            </w:pPr>
            <w:r w:rsidRPr="000A73CF">
              <w:t xml:space="preserve">Color-coding injectables by drug class can be dangerous </w:t>
            </w:r>
          </w:p>
        </w:tc>
      </w:tr>
      <w:tr w:rsidR="003354EC" w:rsidRPr="00C02132" w14:paraId="1B0922DF" w14:textId="77777777" w:rsidTr="00F22B45">
        <w:trPr>
          <w:jc w:val="center"/>
        </w:trPr>
        <w:tc>
          <w:tcPr>
            <w:tcW w:w="612" w:type="dxa"/>
            <w:tcBorders>
              <w:top w:val="single" w:sz="4" w:space="0" w:color="FF0000"/>
              <w:left w:val="single" w:sz="4" w:space="0" w:color="FF0000"/>
              <w:bottom w:val="single" w:sz="4" w:space="0" w:color="FF0000"/>
              <w:right w:val="single" w:sz="4" w:space="0" w:color="FF0000"/>
            </w:tcBorders>
            <w:shd w:val="clear" w:color="auto" w:fill="F0EBD3"/>
          </w:tcPr>
          <w:p w14:paraId="586837F9" w14:textId="77777777" w:rsidR="003354EC" w:rsidRPr="004847A3" w:rsidRDefault="003354EC" w:rsidP="004847A3">
            <w:pPr>
              <w:pStyle w:val="AGENDA-body"/>
            </w:pPr>
            <w:r w:rsidRPr="00C945B9">
              <w:t>(</w:t>
            </w:r>
            <w:r>
              <w:t>4</w:t>
            </w:r>
            <w:r w:rsidRPr="00C945B9">
              <w:t>)</w:t>
            </w:r>
            <w:r w:rsidRPr="004847A3">
              <w:rPr>
                <w:rFonts w:eastAsia="Akzidenz Grotesk BE Cn"/>
              </w:rPr>
              <w:t xml:space="preserve"> </w:t>
            </w:r>
          </w:p>
          <w:p w14:paraId="313838DB" w14:textId="77777777" w:rsidR="003354EC" w:rsidRPr="00C945B9" w:rsidRDefault="003354EC" w:rsidP="004847A3">
            <w:pPr>
              <w:pStyle w:val="AGENDA-body"/>
              <w:tabs>
                <w:tab w:val="clear" w:pos="5735"/>
                <w:tab w:val="clear" w:pos="7906"/>
                <w:tab w:val="clear" w:pos="10080"/>
              </w:tabs>
            </w:pPr>
            <w:r w:rsidRPr="004847A3">
              <w:rPr>
                <w:noProof/>
                <w:lang w:bidi="ar-SA"/>
              </w:rPr>
              <w:drawing>
                <wp:inline distT="0" distB="0" distL="0" distR="0" wp14:anchorId="19779C8E" wp14:editId="1CBDA5F1">
                  <wp:extent cx="152387" cy="12191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da safety icon-alert.png"/>
                          <pic:cNvPicPr/>
                        </pic:nvPicPr>
                        <pic:blipFill>
                          <a:blip r:embed="rId10">
                            <a:extLst>
                              <a:ext uri="{28A0092B-C50C-407E-A947-70E740481C1C}">
                                <a14:useLocalDpi xmlns:a14="http://schemas.microsoft.com/office/drawing/2010/main" val="0"/>
                              </a:ext>
                            </a:extLst>
                          </a:blip>
                          <a:stretch>
                            <a:fillRect/>
                          </a:stretch>
                        </pic:blipFill>
                        <pic:spPr>
                          <a:xfrm>
                            <a:off x="0" y="0"/>
                            <a:ext cx="152387" cy="121910"/>
                          </a:xfrm>
                          <a:prstGeom prst="rect">
                            <a:avLst/>
                          </a:prstGeom>
                        </pic:spPr>
                      </pic:pic>
                    </a:graphicData>
                  </a:graphic>
                </wp:inline>
              </w:drawing>
            </w:r>
          </w:p>
        </w:tc>
        <w:tc>
          <w:tcPr>
            <w:tcW w:w="3780" w:type="dxa"/>
            <w:tcBorders>
              <w:top w:val="single" w:sz="4" w:space="0" w:color="FF0000"/>
              <w:left w:val="single" w:sz="4" w:space="0" w:color="FF0000"/>
              <w:bottom w:val="single" w:sz="4" w:space="0" w:color="FF0000"/>
              <w:right w:val="single" w:sz="4" w:space="0" w:color="FF0000"/>
            </w:tcBorders>
            <w:shd w:val="clear" w:color="auto" w:fill="FFF3D6"/>
          </w:tcPr>
          <w:p w14:paraId="54E9E487" w14:textId="77777777" w:rsidR="003354EC" w:rsidRPr="002D503B" w:rsidRDefault="003354EC" w:rsidP="00335D64">
            <w:pPr>
              <w:pStyle w:val="AGENDA-body"/>
              <w:tabs>
                <w:tab w:val="clear" w:pos="5735"/>
                <w:tab w:val="clear" w:pos="7906"/>
                <w:tab w:val="clear" w:pos="10080"/>
              </w:tabs>
              <w:rPr>
                <w:rFonts w:asciiTheme="minorHAnsi" w:hAnsiTheme="minorHAnsi" w:cstheme="minorHAnsi"/>
                <w:spacing w:val="-4"/>
                <w:sz w:val="22"/>
                <w:szCs w:val="22"/>
              </w:rPr>
            </w:pPr>
            <w:r w:rsidRPr="002D503B">
              <w:rPr>
                <w:rFonts w:asciiTheme="minorHAnsi" w:hAnsiTheme="minorHAnsi" w:cstheme="minorHAnsi"/>
                <w:spacing w:val="-4"/>
                <w:sz w:val="22"/>
                <w:szCs w:val="22"/>
              </w:rPr>
              <w:t>Similar looking vials of e</w:t>
            </w:r>
            <w:r w:rsidRPr="002D503B">
              <w:rPr>
                <w:rFonts w:asciiTheme="minorHAnsi" w:hAnsiTheme="minorHAnsi" w:cstheme="minorHAnsi"/>
                <w:b/>
                <w:spacing w:val="-4"/>
                <w:sz w:val="22"/>
                <w:szCs w:val="22"/>
              </w:rPr>
              <w:t>PHED</w:t>
            </w:r>
            <w:r w:rsidRPr="002D503B">
              <w:rPr>
                <w:rFonts w:asciiTheme="minorHAnsi" w:hAnsiTheme="minorHAnsi" w:cstheme="minorHAnsi"/>
                <w:spacing w:val="-4"/>
                <w:sz w:val="22"/>
                <w:szCs w:val="22"/>
              </w:rPr>
              <w:t xml:space="preserve">rine (Éclat Pharmaceuticals) have been mistaken as </w:t>
            </w:r>
            <w:r w:rsidRPr="002D503B">
              <w:rPr>
                <w:rFonts w:asciiTheme="minorHAnsi" w:hAnsiTheme="minorHAnsi" w:cstheme="minorHAnsi"/>
                <w:b/>
                <w:spacing w:val="-4"/>
                <w:sz w:val="22"/>
                <w:szCs w:val="22"/>
              </w:rPr>
              <w:t>EPINEPH</w:t>
            </w:r>
            <w:r w:rsidRPr="002D503B">
              <w:rPr>
                <w:rFonts w:asciiTheme="minorHAnsi" w:hAnsiTheme="minorHAnsi" w:cstheme="minorHAnsi"/>
                <w:spacing w:val="-4"/>
                <w:sz w:val="22"/>
                <w:szCs w:val="22"/>
              </w:rPr>
              <w:t>rine (PAR Pharmaceutical). The generic names are similar, and both vials have purple caps and purple coloring on their labels. Purple is the standard color for user-applied labels on syringes of vasopressors in the operating room (OR). Outside the OR environment, this practice leads to dangerous confusion between drugs within the same class.</w:t>
            </w:r>
          </w:p>
          <w:p w14:paraId="2BF0E703" w14:textId="77777777" w:rsidR="008D61D0" w:rsidRPr="002D503B" w:rsidRDefault="008D61D0" w:rsidP="00335D64">
            <w:pPr>
              <w:pStyle w:val="AGENDA-body"/>
              <w:tabs>
                <w:tab w:val="clear" w:pos="5735"/>
                <w:tab w:val="clear" w:pos="7906"/>
                <w:tab w:val="clear" w:pos="10080"/>
              </w:tabs>
              <w:rPr>
                <w:rFonts w:asciiTheme="minorHAnsi" w:hAnsiTheme="minorHAnsi" w:cstheme="minorHAnsi"/>
                <w:spacing w:val="-4"/>
                <w:sz w:val="22"/>
                <w:szCs w:val="22"/>
              </w:rPr>
            </w:pPr>
          </w:p>
          <w:p w14:paraId="53DB1B01" w14:textId="77777777" w:rsidR="008D61D0" w:rsidRPr="002D503B" w:rsidRDefault="008D61D0" w:rsidP="00335D64">
            <w:pPr>
              <w:pStyle w:val="AGENDA-body"/>
              <w:tabs>
                <w:tab w:val="clear" w:pos="5735"/>
                <w:tab w:val="clear" w:pos="7906"/>
                <w:tab w:val="clear" w:pos="10080"/>
              </w:tabs>
              <w:rPr>
                <w:rFonts w:asciiTheme="minorHAnsi" w:hAnsiTheme="minorHAnsi" w:cstheme="minorHAnsi"/>
                <w:spacing w:val="-4"/>
                <w:sz w:val="22"/>
                <w:szCs w:val="22"/>
              </w:rPr>
            </w:pPr>
          </w:p>
          <w:p w14:paraId="17A7E90E" w14:textId="77777777" w:rsidR="008D61D0" w:rsidRPr="002D503B" w:rsidRDefault="008D61D0" w:rsidP="00335D64">
            <w:pPr>
              <w:pStyle w:val="AGENDA-body"/>
              <w:tabs>
                <w:tab w:val="clear" w:pos="5735"/>
                <w:tab w:val="clear" w:pos="7906"/>
                <w:tab w:val="clear" w:pos="10080"/>
              </w:tabs>
              <w:rPr>
                <w:rFonts w:asciiTheme="minorHAnsi" w:hAnsiTheme="minorHAnsi" w:cstheme="minorHAnsi"/>
                <w:spacing w:val="-4"/>
                <w:sz w:val="22"/>
                <w:szCs w:val="22"/>
              </w:rPr>
            </w:pPr>
          </w:p>
        </w:tc>
        <w:tc>
          <w:tcPr>
            <w:tcW w:w="3780" w:type="dxa"/>
            <w:tcBorders>
              <w:top w:val="single" w:sz="4" w:space="0" w:color="FF0000"/>
              <w:left w:val="single" w:sz="4" w:space="0" w:color="FF0000"/>
              <w:bottom w:val="single" w:sz="4" w:space="0" w:color="FF0000"/>
              <w:right w:val="single" w:sz="4" w:space="0" w:color="FF0000"/>
            </w:tcBorders>
            <w:shd w:val="clear" w:color="auto" w:fill="F0EBD3"/>
          </w:tcPr>
          <w:p w14:paraId="1FA482F3" w14:textId="77777777" w:rsidR="003354EC" w:rsidRPr="002D503B" w:rsidRDefault="003354EC" w:rsidP="00335D64">
            <w:pPr>
              <w:pStyle w:val="AGENDA-body"/>
              <w:tabs>
                <w:tab w:val="clear" w:pos="5735"/>
                <w:tab w:val="clear" w:pos="7906"/>
                <w:tab w:val="clear" w:pos="10080"/>
              </w:tabs>
              <w:rPr>
                <w:rFonts w:asciiTheme="minorHAnsi" w:hAnsiTheme="minorHAnsi" w:cstheme="minorHAnsi"/>
                <w:sz w:val="22"/>
                <w:szCs w:val="22"/>
              </w:rPr>
            </w:pPr>
            <w:r w:rsidRPr="002D503B">
              <w:rPr>
                <w:rFonts w:asciiTheme="minorHAnsi" w:hAnsiTheme="minorHAnsi" w:cstheme="minorHAnsi"/>
                <w:sz w:val="22"/>
                <w:szCs w:val="22"/>
              </w:rPr>
              <w:t xml:space="preserve">Due to name and packaging similarities, avoid storing these vials next to each other. Take steps to differentiate the two drugs on pharmacy shelf labels and in automated dispensing cabinets. Color-coding by drug class is not recommended for commercial vial caps and labels.  </w:t>
            </w:r>
          </w:p>
        </w:tc>
        <w:tc>
          <w:tcPr>
            <w:tcW w:w="2700" w:type="dxa"/>
            <w:tcBorders>
              <w:top w:val="single" w:sz="4" w:space="0" w:color="FF0000"/>
              <w:left w:val="single" w:sz="4" w:space="0" w:color="FF0000"/>
              <w:bottom w:val="single" w:sz="4" w:space="0" w:color="FF0000"/>
              <w:right w:val="single" w:sz="4" w:space="0" w:color="FF0000"/>
            </w:tcBorders>
          </w:tcPr>
          <w:p w14:paraId="054054FC" w14:textId="77777777" w:rsidR="003354EC" w:rsidRPr="00C02132" w:rsidRDefault="003354EC" w:rsidP="008C5601">
            <w:pPr>
              <w:pStyle w:val="AC-table-body"/>
              <w:tabs>
                <w:tab w:val="clear" w:pos="5735"/>
                <w:tab w:val="clear" w:pos="7906"/>
                <w:tab w:val="clear" w:pos="10080"/>
              </w:tabs>
            </w:pPr>
          </w:p>
        </w:tc>
        <w:tc>
          <w:tcPr>
            <w:tcW w:w="2610" w:type="dxa"/>
            <w:tcBorders>
              <w:top w:val="single" w:sz="4" w:space="0" w:color="FF0000"/>
              <w:left w:val="single" w:sz="4" w:space="0" w:color="FF0000"/>
              <w:bottom w:val="single" w:sz="4" w:space="0" w:color="FF0000"/>
              <w:right w:val="single" w:sz="4" w:space="0" w:color="FF0000"/>
            </w:tcBorders>
          </w:tcPr>
          <w:p w14:paraId="1008FD93" w14:textId="77777777" w:rsidR="003354EC" w:rsidRPr="00C02132" w:rsidRDefault="003354EC" w:rsidP="008C5601">
            <w:pPr>
              <w:pStyle w:val="AC-table-body"/>
              <w:tabs>
                <w:tab w:val="clear" w:pos="5735"/>
                <w:tab w:val="clear" w:pos="7906"/>
                <w:tab w:val="clear" w:pos="10080"/>
              </w:tabs>
            </w:pPr>
          </w:p>
        </w:tc>
        <w:tc>
          <w:tcPr>
            <w:tcW w:w="1206" w:type="dxa"/>
            <w:tcBorders>
              <w:top w:val="single" w:sz="4" w:space="0" w:color="FF0000"/>
              <w:left w:val="single" w:sz="4" w:space="0" w:color="FF0000"/>
              <w:bottom w:val="single" w:sz="4" w:space="0" w:color="FF0000"/>
              <w:right w:val="single" w:sz="4" w:space="0" w:color="FF0000"/>
            </w:tcBorders>
          </w:tcPr>
          <w:p w14:paraId="43F4A274" w14:textId="77777777" w:rsidR="003354EC" w:rsidRPr="00C02132" w:rsidRDefault="003354EC" w:rsidP="008C5601">
            <w:pPr>
              <w:pStyle w:val="AC-table-body"/>
              <w:tabs>
                <w:tab w:val="clear" w:pos="5735"/>
                <w:tab w:val="clear" w:pos="7906"/>
                <w:tab w:val="clear" w:pos="10080"/>
              </w:tabs>
            </w:pPr>
          </w:p>
        </w:tc>
      </w:tr>
      <w:tr w:rsidR="0068779D" w:rsidRPr="00C02132" w14:paraId="29C54325" w14:textId="77777777" w:rsidTr="008C5601">
        <w:trPr>
          <w:jc w:val="center"/>
        </w:trPr>
        <w:tc>
          <w:tcPr>
            <w:tcW w:w="14688" w:type="dxa"/>
            <w:gridSpan w:val="6"/>
            <w:tcBorders>
              <w:top w:val="single" w:sz="4" w:space="0" w:color="FF0000"/>
              <w:left w:val="single" w:sz="4" w:space="0" w:color="FF0000"/>
              <w:bottom w:val="single" w:sz="4" w:space="0" w:color="FF0000"/>
              <w:right w:val="single" w:sz="4" w:space="0" w:color="FF0000"/>
            </w:tcBorders>
            <w:shd w:val="clear" w:color="auto" w:fill="EACB8B"/>
          </w:tcPr>
          <w:p w14:paraId="488B799C" w14:textId="77777777" w:rsidR="0068779D" w:rsidRPr="000A73CF" w:rsidRDefault="0068779D" w:rsidP="00335D64">
            <w:pPr>
              <w:pStyle w:val="AGENDA-table-titles"/>
              <w:tabs>
                <w:tab w:val="clear" w:pos="5735"/>
                <w:tab w:val="clear" w:pos="7906"/>
                <w:tab w:val="clear" w:pos="10080"/>
              </w:tabs>
            </w:pPr>
            <w:r w:rsidRPr="000A73CF">
              <w:lastRenderedPageBreak/>
              <w:t xml:space="preserve">Vaccine abbreviations and acronyms lead to errors </w:t>
            </w:r>
          </w:p>
        </w:tc>
      </w:tr>
      <w:tr w:rsidR="0068779D" w:rsidRPr="00C02132" w14:paraId="20B70998" w14:textId="77777777" w:rsidTr="00F22B45">
        <w:trPr>
          <w:jc w:val="center"/>
        </w:trPr>
        <w:tc>
          <w:tcPr>
            <w:tcW w:w="612" w:type="dxa"/>
            <w:tcBorders>
              <w:top w:val="single" w:sz="4" w:space="0" w:color="FF0000"/>
              <w:left w:val="single" w:sz="4" w:space="0" w:color="FF0000"/>
              <w:bottom w:val="single" w:sz="4" w:space="0" w:color="FF0000"/>
              <w:right w:val="single" w:sz="4" w:space="0" w:color="FF0000"/>
            </w:tcBorders>
            <w:shd w:val="clear" w:color="auto" w:fill="F0EBD3"/>
          </w:tcPr>
          <w:p w14:paraId="0FADA462" w14:textId="77777777" w:rsidR="0068779D" w:rsidRPr="000A73CF" w:rsidRDefault="0068779D" w:rsidP="00335D64">
            <w:pPr>
              <w:pStyle w:val="AGENDA-body"/>
              <w:tabs>
                <w:tab w:val="clear" w:pos="5735"/>
                <w:tab w:val="clear" w:pos="7906"/>
                <w:tab w:val="clear" w:pos="10080"/>
              </w:tabs>
            </w:pPr>
            <w:r w:rsidRPr="000A73CF">
              <w:t>(4)</w:t>
            </w:r>
          </w:p>
        </w:tc>
        <w:tc>
          <w:tcPr>
            <w:tcW w:w="3780" w:type="dxa"/>
            <w:tcBorders>
              <w:top w:val="single" w:sz="4" w:space="0" w:color="FF0000"/>
              <w:left w:val="single" w:sz="4" w:space="0" w:color="FF0000"/>
              <w:bottom w:val="single" w:sz="4" w:space="0" w:color="FF0000"/>
              <w:right w:val="single" w:sz="4" w:space="0" w:color="FF0000"/>
            </w:tcBorders>
            <w:shd w:val="clear" w:color="auto" w:fill="FFF3D6"/>
          </w:tcPr>
          <w:p w14:paraId="1387F116" w14:textId="77777777" w:rsidR="00F22B45" w:rsidRPr="002D503B" w:rsidRDefault="0068779D" w:rsidP="00335D64">
            <w:pPr>
              <w:pStyle w:val="AGENDA-body"/>
              <w:tabs>
                <w:tab w:val="clear" w:pos="5735"/>
                <w:tab w:val="clear" w:pos="7906"/>
                <w:tab w:val="clear" w:pos="10080"/>
              </w:tabs>
              <w:rPr>
                <w:rFonts w:asciiTheme="minorHAnsi" w:hAnsiTheme="minorHAnsi" w:cstheme="minorHAnsi"/>
                <w:sz w:val="22"/>
                <w:szCs w:val="22"/>
              </w:rPr>
            </w:pPr>
            <w:r w:rsidRPr="002D503B">
              <w:rPr>
                <w:rFonts w:asciiTheme="minorHAnsi" w:hAnsiTheme="minorHAnsi" w:cstheme="minorHAnsi"/>
                <w:spacing w:val="-8"/>
                <w:sz w:val="22"/>
                <w:szCs w:val="22"/>
              </w:rPr>
              <w:t>Long nonproprietary vaccine names have spurred the use of abbreviations. The Centers for Disease Control and Prevention (CDC) provides a list of standard abbreviations, but nonstandard abbreviations are used often, and some standard abbreviations are very similar, sharing a main root to identify the target disease. Mix-ups have been reported, the latest involving Hib (</w:t>
            </w:r>
            <w:r w:rsidRPr="002D503B">
              <w:rPr>
                <w:rFonts w:asciiTheme="minorHAnsi" w:hAnsiTheme="minorHAnsi" w:cstheme="minorHAnsi"/>
                <w:i/>
                <w:spacing w:val="-8"/>
                <w:sz w:val="22"/>
                <w:szCs w:val="22"/>
              </w:rPr>
              <w:t>Haemophilus influenzae</w:t>
            </w:r>
            <w:r w:rsidRPr="002D503B">
              <w:rPr>
                <w:rFonts w:asciiTheme="minorHAnsi" w:hAnsiTheme="minorHAnsi" w:cstheme="minorHAnsi"/>
                <w:spacing w:val="-8"/>
                <w:sz w:val="22"/>
                <w:szCs w:val="22"/>
              </w:rPr>
              <w:t xml:space="preserve"> type b conjugate vaccine) and HPV (correct abbreviation was 9vHPV for human papillomavirus 9-valent vaccine, recombi</w:t>
            </w:r>
            <w:r w:rsidRPr="002D503B">
              <w:rPr>
                <w:rFonts w:asciiTheme="minorHAnsi" w:hAnsiTheme="minorHAnsi" w:cstheme="minorHAnsi"/>
                <w:sz w:val="22"/>
                <w:szCs w:val="22"/>
              </w:rPr>
              <w:t>nant).</w:t>
            </w:r>
          </w:p>
          <w:p w14:paraId="61389648" w14:textId="77777777" w:rsidR="00F22B45" w:rsidRPr="002D503B" w:rsidRDefault="00F22B45" w:rsidP="00335D64">
            <w:pPr>
              <w:pStyle w:val="AGENDA-body"/>
              <w:tabs>
                <w:tab w:val="clear" w:pos="5735"/>
                <w:tab w:val="clear" w:pos="7906"/>
                <w:tab w:val="clear" w:pos="10080"/>
              </w:tabs>
              <w:rPr>
                <w:rFonts w:asciiTheme="minorHAnsi" w:hAnsiTheme="minorHAnsi" w:cstheme="minorHAnsi"/>
                <w:sz w:val="22"/>
                <w:szCs w:val="22"/>
              </w:rPr>
            </w:pPr>
          </w:p>
        </w:tc>
        <w:tc>
          <w:tcPr>
            <w:tcW w:w="3780" w:type="dxa"/>
            <w:tcBorders>
              <w:top w:val="single" w:sz="4" w:space="0" w:color="FF0000"/>
              <w:left w:val="single" w:sz="4" w:space="0" w:color="FF0000"/>
              <w:bottom w:val="single" w:sz="4" w:space="0" w:color="FF0000"/>
              <w:right w:val="single" w:sz="4" w:space="0" w:color="FF0000"/>
            </w:tcBorders>
            <w:shd w:val="clear" w:color="auto" w:fill="F0EBD3"/>
          </w:tcPr>
          <w:p w14:paraId="52EA3853" w14:textId="77777777" w:rsidR="0068779D" w:rsidRPr="002D503B" w:rsidRDefault="0068779D" w:rsidP="00335D64">
            <w:pPr>
              <w:pStyle w:val="AGENDA-body"/>
              <w:tabs>
                <w:tab w:val="clear" w:pos="5735"/>
                <w:tab w:val="clear" w:pos="7906"/>
                <w:tab w:val="clear" w:pos="10080"/>
              </w:tabs>
              <w:rPr>
                <w:rFonts w:asciiTheme="minorHAnsi" w:hAnsiTheme="minorHAnsi" w:cstheme="minorHAnsi"/>
                <w:sz w:val="22"/>
                <w:szCs w:val="22"/>
              </w:rPr>
            </w:pPr>
            <w:r w:rsidRPr="002D503B">
              <w:rPr>
                <w:rFonts w:asciiTheme="minorHAnsi" w:hAnsiTheme="minorHAnsi" w:cstheme="minorHAnsi"/>
                <w:spacing w:val="-7"/>
                <w:sz w:val="22"/>
                <w:szCs w:val="22"/>
              </w:rPr>
              <w:t xml:space="preserve">If vaccine abbreviations are permitted, allow only current CDC-approved abbreviations to be used. Establish standard order sets or protocols that include the vaccine’s brand name (if applicable) and full nonproprietary name. If CDC-approved vaccine abbreviations are permitted in electronic formats, configure the display to allow viewing of the full nonproprietary vaccine name when hovering over the vaccine abbreviation. List full vaccine names on patient vaccination </w:t>
            </w:r>
            <w:r w:rsidRPr="002D503B">
              <w:rPr>
                <w:rFonts w:asciiTheme="minorHAnsi" w:hAnsiTheme="minorHAnsi" w:cstheme="minorHAnsi"/>
                <w:sz w:val="22"/>
                <w:szCs w:val="22"/>
              </w:rPr>
              <w:t>records, and provide patients with a copy.</w:t>
            </w:r>
          </w:p>
          <w:p w14:paraId="7E7F9EC4" w14:textId="77777777" w:rsidR="00F22B45" w:rsidRPr="002D503B" w:rsidRDefault="00F22B45" w:rsidP="00335D64">
            <w:pPr>
              <w:pStyle w:val="AGENDA-body"/>
              <w:tabs>
                <w:tab w:val="clear" w:pos="5735"/>
                <w:tab w:val="clear" w:pos="7906"/>
                <w:tab w:val="clear" w:pos="10080"/>
              </w:tabs>
              <w:rPr>
                <w:rFonts w:asciiTheme="minorHAnsi" w:hAnsiTheme="minorHAnsi" w:cstheme="minorHAnsi"/>
                <w:sz w:val="22"/>
                <w:szCs w:val="22"/>
              </w:rPr>
            </w:pPr>
          </w:p>
        </w:tc>
        <w:tc>
          <w:tcPr>
            <w:tcW w:w="2700" w:type="dxa"/>
            <w:tcBorders>
              <w:top w:val="single" w:sz="4" w:space="0" w:color="FF0000"/>
              <w:left w:val="single" w:sz="4" w:space="0" w:color="FF0000"/>
              <w:bottom w:val="single" w:sz="4" w:space="0" w:color="FF0000"/>
              <w:right w:val="single" w:sz="4" w:space="0" w:color="FF0000"/>
            </w:tcBorders>
          </w:tcPr>
          <w:p w14:paraId="00FAC483" w14:textId="77777777" w:rsidR="0068779D" w:rsidRPr="00C02132" w:rsidRDefault="0068779D" w:rsidP="008C5601">
            <w:pPr>
              <w:pStyle w:val="AC-table-body"/>
              <w:tabs>
                <w:tab w:val="clear" w:pos="5735"/>
                <w:tab w:val="clear" w:pos="7906"/>
                <w:tab w:val="clear" w:pos="10080"/>
              </w:tabs>
            </w:pPr>
          </w:p>
        </w:tc>
        <w:tc>
          <w:tcPr>
            <w:tcW w:w="2610" w:type="dxa"/>
            <w:tcBorders>
              <w:top w:val="single" w:sz="4" w:space="0" w:color="FF0000"/>
              <w:left w:val="single" w:sz="4" w:space="0" w:color="FF0000"/>
              <w:bottom w:val="single" w:sz="4" w:space="0" w:color="FF0000"/>
              <w:right w:val="single" w:sz="4" w:space="0" w:color="FF0000"/>
            </w:tcBorders>
          </w:tcPr>
          <w:p w14:paraId="2F517A15" w14:textId="77777777" w:rsidR="0068779D" w:rsidRPr="00C02132" w:rsidRDefault="0068779D" w:rsidP="008C5601">
            <w:pPr>
              <w:pStyle w:val="AC-table-body"/>
              <w:tabs>
                <w:tab w:val="clear" w:pos="5735"/>
                <w:tab w:val="clear" w:pos="7906"/>
                <w:tab w:val="clear" w:pos="10080"/>
              </w:tabs>
            </w:pPr>
          </w:p>
        </w:tc>
        <w:tc>
          <w:tcPr>
            <w:tcW w:w="1206" w:type="dxa"/>
            <w:tcBorders>
              <w:top w:val="single" w:sz="4" w:space="0" w:color="FF0000"/>
              <w:left w:val="single" w:sz="4" w:space="0" w:color="FF0000"/>
              <w:bottom w:val="single" w:sz="4" w:space="0" w:color="FF0000"/>
              <w:right w:val="single" w:sz="4" w:space="0" w:color="FF0000"/>
            </w:tcBorders>
          </w:tcPr>
          <w:p w14:paraId="63C53CB6" w14:textId="77777777" w:rsidR="0068779D" w:rsidRPr="00C02132" w:rsidRDefault="0068779D" w:rsidP="008C5601">
            <w:pPr>
              <w:pStyle w:val="AC-table-body"/>
              <w:tabs>
                <w:tab w:val="clear" w:pos="5735"/>
                <w:tab w:val="clear" w:pos="7906"/>
                <w:tab w:val="clear" w:pos="10080"/>
              </w:tabs>
            </w:pPr>
          </w:p>
        </w:tc>
      </w:tr>
      <w:tr w:rsidR="0068779D" w:rsidRPr="00C02132" w14:paraId="443CB8EE" w14:textId="77777777" w:rsidTr="008C5601">
        <w:trPr>
          <w:jc w:val="center"/>
        </w:trPr>
        <w:tc>
          <w:tcPr>
            <w:tcW w:w="14688" w:type="dxa"/>
            <w:gridSpan w:val="6"/>
            <w:tcBorders>
              <w:top w:val="single" w:sz="4" w:space="0" w:color="FF0000"/>
              <w:left w:val="single" w:sz="4" w:space="0" w:color="FF0000"/>
              <w:bottom w:val="single" w:sz="4" w:space="0" w:color="FF0000"/>
              <w:right w:val="single" w:sz="4" w:space="0" w:color="FF0000"/>
            </w:tcBorders>
            <w:shd w:val="clear" w:color="auto" w:fill="EACB8B"/>
          </w:tcPr>
          <w:p w14:paraId="28F7C491" w14:textId="77777777" w:rsidR="0068779D" w:rsidRPr="000A73CF" w:rsidRDefault="0068779D" w:rsidP="00335D64">
            <w:pPr>
              <w:pStyle w:val="AGENDA-table-titles"/>
              <w:tabs>
                <w:tab w:val="clear" w:pos="5735"/>
                <w:tab w:val="clear" w:pos="7906"/>
                <w:tab w:val="clear" w:pos="10080"/>
              </w:tabs>
            </w:pPr>
            <w:r w:rsidRPr="000A73CF">
              <w:t xml:space="preserve">Two effective initiatives for C-suite leaders to improve medication safety and the reliability of outcomes </w:t>
            </w:r>
          </w:p>
        </w:tc>
      </w:tr>
      <w:tr w:rsidR="0068779D" w:rsidRPr="00C02132" w14:paraId="5F91519C" w14:textId="77777777" w:rsidTr="00F22B45">
        <w:trPr>
          <w:jc w:val="center"/>
        </w:trPr>
        <w:tc>
          <w:tcPr>
            <w:tcW w:w="612" w:type="dxa"/>
            <w:tcBorders>
              <w:top w:val="single" w:sz="4" w:space="0" w:color="FF0000"/>
              <w:left w:val="single" w:sz="4" w:space="0" w:color="FF0000"/>
              <w:bottom w:val="single" w:sz="4" w:space="0" w:color="FF0000"/>
              <w:right w:val="single" w:sz="4" w:space="0" w:color="FF0000"/>
            </w:tcBorders>
            <w:shd w:val="clear" w:color="auto" w:fill="F0EBD3"/>
          </w:tcPr>
          <w:p w14:paraId="688F5C86" w14:textId="77777777" w:rsidR="0068779D" w:rsidRPr="000A73CF" w:rsidRDefault="0068779D" w:rsidP="00335D64">
            <w:pPr>
              <w:pStyle w:val="AGENDA-body"/>
              <w:tabs>
                <w:tab w:val="clear" w:pos="5735"/>
                <w:tab w:val="clear" w:pos="7906"/>
                <w:tab w:val="clear" w:pos="10080"/>
              </w:tabs>
            </w:pPr>
            <w:r w:rsidRPr="000A73CF">
              <w:t>(6)</w:t>
            </w:r>
          </w:p>
        </w:tc>
        <w:tc>
          <w:tcPr>
            <w:tcW w:w="3780" w:type="dxa"/>
            <w:tcBorders>
              <w:top w:val="single" w:sz="4" w:space="0" w:color="FF0000"/>
              <w:left w:val="single" w:sz="4" w:space="0" w:color="FF0000"/>
              <w:bottom w:val="single" w:sz="4" w:space="0" w:color="FF0000"/>
              <w:right w:val="single" w:sz="4" w:space="0" w:color="FF0000"/>
            </w:tcBorders>
            <w:shd w:val="clear" w:color="auto" w:fill="FFF3D6"/>
          </w:tcPr>
          <w:p w14:paraId="5EDD6741" w14:textId="77777777" w:rsidR="00F22B45" w:rsidRPr="002D503B" w:rsidRDefault="0068779D" w:rsidP="00335D64">
            <w:pPr>
              <w:pStyle w:val="AGENDA-body"/>
              <w:tabs>
                <w:tab w:val="clear" w:pos="5735"/>
                <w:tab w:val="clear" w:pos="7906"/>
                <w:tab w:val="clear" w:pos="10080"/>
              </w:tabs>
              <w:rPr>
                <w:rFonts w:asciiTheme="minorHAnsi" w:hAnsiTheme="minorHAnsi" w:cstheme="minorHAnsi"/>
                <w:sz w:val="22"/>
                <w:szCs w:val="22"/>
              </w:rPr>
            </w:pPr>
            <w:r w:rsidRPr="002D503B">
              <w:rPr>
                <w:rFonts w:asciiTheme="minorHAnsi" w:hAnsiTheme="minorHAnsi" w:cstheme="minorHAnsi"/>
                <w:sz w:val="22"/>
                <w:szCs w:val="22"/>
              </w:rPr>
              <w:t>Organizations will be reliable only around those things that they value—safety must be one of those things.  ISMP has identified two strategic initiatives related to safety that senior leaders should undertake to significantly improve reliable patient outcomes and to communicate that safety is a core value worthy of the hard work needed to achieve.</w:t>
            </w:r>
          </w:p>
          <w:p w14:paraId="6ECF1C00" w14:textId="77777777" w:rsidR="00F22B45" w:rsidRPr="002D503B" w:rsidRDefault="00F22B45" w:rsidP="00335D64">
            <w:pPr>
              <w:pStyle w:val="AGENDA-body"/>
              <w:tabs>
                <w:tab w:val="clear" w:pos="5735"/>
                <w:tab w:val="clear" w:pos="7906"/>
                <w:tab w:val="clear" w:pos="10080"/>
              </w:tabs>
              <w:rPr>
                <w:rFonts w:asciiTheme="minorHAnsi" w:hAnsiTheme="minorHAnsi" w:cstheme="minorHAnsi"/>
                <w:sz w:val="22"/>
                <w:szCs w:val="22"/>
              </w:rPr>
            </w:pPr>
          </w:p>
        </w:tc>
        <w:tc>
          <w:tcPr>
            <w:tcW w:w="3780" w:type="dxa"/>
            <w:tcBorders>
              <w:top w:val="single" w:sz="4" w:space="0" w:color="FF0000"/>
              <w:left w:val="single" w:sz="4" w:space="0" w:color="FF0000"/>
              <w:bottom w:val="single" w:sz="4" w:space="0" w:color="FF0000"/>
              <w:right w:val="single" w:sz="4" w:space="0" w:color="FF0000"/>
            </w:tcBorders>
            <w:shd w:val="clear" w:color="auto" w:fill="F0EBD3"/>
          </w:tcPr>
          <w:p w14:paraId="1A7221B7" w14:textId="77777777" w:rsidR="0068779D" w:rsidRPr="002D503B" w:rsidRDefault="0068779D" w:rsidP="00335D64">
            <w:pPr>
              <w:pStyle w:val="AGENDA-body"/>
              <w:tabs>
                <w:tab w:val="clear" w:pos="5735"/>
                <w:tab w:val="clear" w:pos="7906"/>
                <w:tab w:val="clear" w:pos="10080"/>
              </w:tabs>
              <w:rPr>
                <w:rFonts w:asciiTheme="minorHAnsi" w:hAnsiTheme="minorHAnsi" w:cstheme="minorHAnsi"/>
                <w:spacing w:val="-7"/>
                <w:sz w:val="22"/>
                <w:szCs w:val="22"/>
              </w:rPr>
            </w:pPr>
            <w:r w:rsidRPr="002D503B">
              <w:rPr>
                <w:rFonts w:asciiTheme="minorHAnsi" w:hAnsiTheme="minorHAnsi" w:cstheme="minorHAnsi"/>
                <w:spacing w:val="-8"/>
                <w:sz w:val="22"/>
                <w:szCs w:val="22"/>
              </w:rPr>
              <w:t xml:space="preserve">Senior leaders should facilitate implementation of ISMP’s </w:t>
            </w:r>
            <w:r w:rsidRPr="002D503B">
              <w:rPr>
                <w:rFonts w:asciiTheme="minorHAnsi" w:hAnsiTheme="minorHAnsi" w:cstheme="minorHAnsi"/>
                <w:i/>
                <w:spacing w:val="-8"/>
                <w:sz w:val="22"/>
                <w:szCs w:val="22"/>
              </w:rPr>
              <w:t>Targeted Medica-tion Safety Best Practices</w:t>
            </w:r>
            <w:r w:rsidRPr="002D503B">
              <w:rPr>
                <w:rFonts w:asciiTheme="minorHAnsi" w:hAnsiTheme="minorHAnsi" w:cstheme="minorHAnsi"/>
                <w:spacing w:val="-8"/>
                <w:sz w:val="22"/>
                <w:szCs w:val="22"/>
              </w:rPr>
              <w:t xml:space="preserve">, a set of interventions that address 11 medication safety issues that can cause fatal or harmful errors. As a second initiative, leaders should learn from external and internal errors, using resources such as the ISMP </w:t>
            </w:r>
            <w:r w:rsidRPr="002D503B">
              <w:rPr>
                <w:rFonts w:asciiTheme="minorHAnsi" w:hAnsiTheme="minorHAnsi" w:cstheme="minorHAnsi"/>
                <w:i/>
                <w:spacing w:val="-8"/>
                <w:sz w:val="22"/>
                <w:szCs w:val="22"/>
              </w:rPr>
              <w:t>Quarterly Action Agenda</w:t>
            </w:r>
            <w:r w:rsidRPr="002D503B">
              <w:rPr>
                <w:rFonts w:asciiTheme="minorHAnsi" w:hAnsiTheme="minorHAnsi" w:cstheme="minorHAnsi"/>
                <w:spacing w:val="-8"/>
                <w:sz w:val="22"/>
                <w:szCs w:val="22"/>
              </w:rPr>
              <w:t xml:space="preserve"> and conducting </w:t>
            </w:r>
            <w:r w:rsidRPr="002D503B">
              <w:rPr>
                <w:rFonts w:asciiTheme="minorHAnsi" w:hAnsiTheme="minorHAnsi" w:cstheme="minorHAnsi"/>
                <w:i/>
                <w:spacing w:val="-8"/>
                <w:sz w:val="22"/>
                <w:szCs w:val="22"/>
              </w:rPr>
              <w:t xml:space="preserve">Safety </w:t>
            </w:r>
            <w:r w:rsidRPr="002D503B">
              <w:rPr>
                <w:rFonts w:asciiTheme="minorHAnsi" w:hAnsiTheme="minorHAnsi" w:cstheme="minorHAnsi"/>
                <w:i/>
                <w:spacing w:val="-7"/>
                <w:sz w:val="22"/>
                <w:szCs w:val="22"/>
              </w:rPr>
              <w:t>WalkRounds</w:t>
            </w:r>
            <w:r w:rsidRPr="002D503B">
              <w:rPr>
                <w:rFonts w:asciiTheme="minorHAnsi" w:hAnsiTheme="minorHAnsi" w:cstheme="minorHAnsi"/>
                <w:spacing w:val="-7"/>
                <w:sz w:val="22"/>
                <w:szCs w:val="22"/>
              </w:rPr>
              <w:t xml:space="preserve">. </w:t>
            </w:r>
          </w:p>
          <w:p w14:paraId="27842ABF" w14:textId="77777777" w:rsidR="00F22B45" w:rsidRPr="002D503B" w:rsidRDefault="00F22B45" w:rsidP="00335D64">
            <w:pPr>
              <w:pStyle w:val="AGENDA-body"/>
              <w:tabs>
                <w:tab w:val="clear" w:pos="5735"/>
                <w:tab w:val="clear" w:pos="7906"/>
                <w:tab w:val="clear" w:pos="10080"/>
              </w:tabs>
              <w:rPr>
                <w:rFonts w:asciiTheme="minorHAnsi" w:hAnsiTheme="minorHAnsi" w:cstheme="minorHAnsi"/>
                <w:spacing w:val="-7"/>
                <w:sz w:val="22"/>
                <w:szCs w:val="22"/>
              </w:rPr>
            </w:pPr>
          </w:p>
        </w:tc>
        <w:tc>
          <w:tcPr>
            <w:tcW w:w="2700" w:type="dxa"/>
            <w:tcBorders>
              <w:top w:val="single" w:sz="4" w:space="0" w:color="FF0000"/>
              <w:left w:val="single" w:sz="4" w:space="0" w:color="FF0000"/>
              <w:bottom w:val="single" w:sz="4" w:space="0" w:color="FF0000"/>
              <w:right w:val="single" w:sz="4" w:space="0" w:color="FF0000"/>
            </w:tcBorders>
          </w:tcPr>
          <w:p w14:paraId="14689CE2" w14:textId="77777777" w:rsidR="0068779D" w:rsidRPr="00C02132" w:rsidRDefault="0068779D" w:rsidP="008C5601">
            <w:pPr>
              <w:pStyle w:val="AC-table-body"/>
              <w:tabs>
                <w:tab w:val="clear" w:pos="5735"/>
                <w:tab w:val="clear" w:pos="7906"/>
                <w:tab w:val="clear" w:pos="10080"/>
              </w:tabs>
            </w:pPr>
          </w:p>
        </w:tc>
        <w:tc>
          <w:tcPr>
            <w:tcW w:w="2610" w:type="dxa"/>
            <w:tcBorders>
              <w:top w:val="single" w:sz="4" w:space="0" w:color="FF0000"/>
              <w:left w:val="single" w:sz="4" w:space="0" w:color="FF0000"/>
              <w:bottom w:val="single" w:sz="4" w:space="0" w:color="FF0000"/>
              <w:right w:val="single" w:sz="4" w:space="0" w:color="FF0000"/>
            </w:tcBorders>
          </w:tcPr>
          <w:p w14:paraId="0C57461F" w14:textId="77777777" w:rsidR="0068779D" w:rsidRPr="00C02132" w:rsidRDefault="0068779D" w:rsidP="008C5601">
            <w:pPr>
              <w:pStyle w:val="AC-table-body"/>
              <w:tabs>
                <w:tab w:val="clear" w:pos="5735"/>
                <w:tab w:val="clear" w:pos="7906"/>
                <w:tab w:val="clear" w:pos="10080"/>
              </w:tabs>
            </w:pPr>
          </w:p>
        </w:tc>
        <w:tc>
          <w:tcPr>
            <w:tcW w:w="1206" w:type="dxa"/>
            <w:tcBorders>
              <w:top w:val="single" w:sz="4" w:space="0" w:color="FF0000"/>
              <w:left w:val="single" w:sz="4" w:space="0" w:color="FF0000"/>
              <w:bottom w:val="single" w:sz="4" w:space="0" w:color="FF0000"/>
              <w:right w:val="single" w:sz="4" w:space="0" w:color="FF0000"/>
            </w:tcBorders>
          </w:tcPr>
          <w:p w14:paraId="0B29D9B3" w14:textId="77777777" w:rsidR="0068779D" w:rsidRPr="00C02132" w:rsidRDefault="0068779D" w:rsidP="008C5601">
            <w:pPr>
              <w:pStyle w:val="AC-table-body"/>
              <w:tabs>
                <w:tab w:val="clear" w:pos="5735"/>
                <w:tab w:val="clear" w:pos="7906"/>
                <w:tab w:val="clear" w:pos="10080"/>
              </w:tabs>
            </w:pPr>
          </w:p>
        </w:tc>
      </w:tr>
      <w:tr w:rsidR="00EB685C" w:rsidRPr="00C02132" w14:paraId="1D740898" w14:textId="77777777" w:rsidTr="008C5601">
        <w:trPr>
          <w:jc w:val="center"/>
        </w:trPr>
        <w:tc>
          <w:tcPr>
            <w:tcW w:w="14688" w:type="dxa"/>
            <w:gridSpan w:val="6"/>
            <w:tcBorders>
              <w:top w:val="single" w:sz="4" w:space="0" w:color="FF0000"/>
              <w:left w:val="single" w:sz="4" w:space="0" w:color="FF0000"/>
              <w:bottom w:val="single" w:sz="4" w:space="0" w:color="FF0000"/>
              <w:right w:val="single" w:sz="4" w:space="0" w:color="FF0000"/>
            </w:tcBorders>
            <w:shd w:val="clear" w:color="auto" w:fill="EACB8B"/>
          </w:tcPr>
          <w:p w14:paraId="64F4C69B" w14:textId="77777777" w:rsidR="00EB685C" w:rsidRPr="000A73CF" w:rsidRDefault="00EB685C" w:rsidP="00335D64">
            <w:pPr>
              <w:pStyle w:val="AGENDA-table-titles"/>
              <w:tabs>
                <w:tab w:val="clear" w:pos="5735"/>
                <w:tab w:val="clear" w:pos="7906"/>
                <w:tab w:val="clear" w:pos="10080"/>
              </w:tabs>
            </w:pPr>
            <w:r w:rsidRPr="000A73CF">
              <w:t xml:space="preserve">Accidental injection of topical thrombin </w:t>
            </w:r>
          </w:p>
        </w:tc>
      </w:tr>
      <w:tr w:rsidR="00EB685C" w:rsidRPr="00C02132" w14:paraId="4809E375" w14:textId="77777777" w:rsidTr="00F22B45">
        <w:trPr>
          <w:jc w:val="center"/>
        </w:trPr>
        <w:tc>
          <w:tcPr>
            <w:tcW w:w="612" w:type="dxa"/>
            <w:tcBorders>
              <w:top w:val="single" w:sz="4" w:space="0" w:color="FF0000"/>
              <w:left w:val="single" w:sz="4" w:space="0" w:color="FF0000"/>
              <w:bottom w:val="single" w:sz="4" w:space="0" w:color="FF0000"/>
              <w:right w:val="single" w:sz="4" w:space="0" w:color="FF0000"/>
            </w:tcBorders>
            <w:shd w:val="clear" w:color="auto" w:fill="F0EBD3"/>
          </w:tcPr>
          <w:p w14:paraId="077A725C" w14:textId="77777777" w:rsidR="00EB685C" w:rsidRPr="000A73CF" w:rsidRDefault="00EB685C" w:rsidP="00335D64">
            <w:pPr>
              <w:pStyle w:val="AGENDA-body"/>
              <w:tabs>
                <w:tab w:val="clear" w:pos="5735"/>
                <w:tab w:val="clear" w:pos="7906"/>
                <w:tab w:val="clear" w:pos="10080"/>
              </w:tabs>
            </w:pPr>
            <w:r w:rsidRPr="000A73CF">
              <w:t>(1)</w:t>
            </w:r>
          </w:p>
        </w:tc>
        <w:tc>
          <w:tcPr>
            <w:tcW w:w="3780" w:type="dxa"/>
            <w:tcBorders>
              <w:top w:val="single" w:sz="4" w:space="0" w:color="FF0000"/>
              <w:left w:val="single" w:sz="4" w:space="0" w:color="FF0000"/>
              <w:bottom w:val="single" w:sz="4" w:space="0" w:color="FF0000"/>
              <w:right w:val="single" w:sz="4" w:space="0" w:color="FF0000"/>
            </w:tcBorders>
            <w:shd w:val="clear" w:color="auto" w:fill="FFF3D6"/>
          </w:tcPr>
          <w:p w14:paraId="7F81DD4E" w14:textId="77777777" w:rsidR="00F22B45" w:rsidRPr="002D503B" w:rsidRDefault="00EB685C" w:rsidP="00335D64">
            <w:pPr>
              <w:pStyle w:val="AGENDA-body"/>
              <w:tabs>
                <w:tab w:val="clear" w:pos="5735"/>
                <w:tab w:val="clear" w:pos="7906"/>
                <w:tab w:val="clear" w:pos="10080"/>
              </w:tabs>
              <w:rPr>
                <w:rFonts w:asciiTheme="minorHAnsi" w:hAnsiTheme="minorHAnsi" w:cstheme="minorHAnsi"/>
                <w:sz w:val="22"/>
                <w:szCs w:val="22"/>
              </w:rPr>
            </w:pPr>
            <w:r w:rsidRPr="002D503B">
              <w:rPr>
                <w:rFonts w:asciiTheme="minorHAnsi" w:hAnsiTheme="minorHAnsi" w:cstheme="minorHAnsi"/>
                <w:sz w:val="22"/>
                <w:szCs w:val="22"/>
              </w:rPr>
              <w:t xml:space="preserve">More than 8 events of accidental intravenous (IV) administration of topical thrombin were reported, with the latest involving a mix-up between syringes containing IV coagulation factor and topical thrombin, which led to cardiac arrest. The vial-and-syringe packaging of some topical thrombin products makes them look like parenteral medications, and the only available </w:t>
            </w:r>
            <w:r w:rsidRPr="002D503B">
              <w:rPr>
                <w:rFonts w:asciiTheme="minorHAnsi" w:hAnsiTheme="minorHAnsi" w:cstheme="minorHAnsi"/>
                <w:spacing w:val="-6"/>
                <w:sz w:val="22"/>
                <w:szCs w:val="22"/>
              </w:rPr>
              <w:t>human recombinant thrombin (</w:t>
            </w:r>
            <w:r w:rsidRPr="002D503B">
              <w:rPr>
                <w:rFonts w:asciiTheme="minorHAnsi" w:hAnsiTheme="minorHAnsi" w:cstheme="minorHAnsi"/>
                <w:b/>
                <w:spacing w:val="-6"/>
                <w:sz w:val="22"/>
                <w:szCs w:val="22"/>
              </w:rPr>
              <w:t>RECO-THROM</w:t>
            </w:r>
            <w:r w:rsidRPr="002D503B">
              <w:rPr>
                <w:rFonts w:asciiTheme="minorHAnsi" w:hAnsiTheme="minorHAnsi" w:cstheme="minorHAnsi"/>
                <w:spacing w:val="-6"/>
                <w:sz w:val="22"/>
                <w:szCs w:val="22"/>
              </w:rPr>
              <w:t xml:space="preserve">) comes with a Luer-tip </w:t>
            </w:r>
            <w:r w:rsidRPr="002D503B">
              <w:rPr>
                <w:rFonts w:asciiTheme="minorHAnsi" w:hAnsiTheme="minorHAnsi" w:cstheme="minorHAnsi"/>
                <w:sz w:val="22"/>
                <w:szCs w:val="22"/>
              </w:rPr>
              <w:t xml:space="preserve">syringe. </w:t>
            </w:r>
          </w:p>
          <w:p w14:paraId="3413E7C8" w14:textId="77777777" w:rsidR="008D61D0" w:rsidRPr="002D503B" w:rsidRDefault="008D61D0" w:rsidP="00335D64">
            <w:pPr>
              <w:pStyle w:val="AGENDA-body"/>
              <w:tabs>
                <w:tab w:val="clear" w:pos="5735"/>
                <w:tab w:val="clear" w:pos="7906"/>
                <w:tab w:val="clear" w:pos="10080"/>
              </w:tabs>
              <w:rPr>
                <w:rFonts w:asciiTheme="minorHAnsi" w:hAnsiTheme="minorHAnsi" w:cstheme="minorHAnsi"/>
                <w:sz w:val="22"/>
                <w:szCs w:val="22"/>
              </w:rPr>
            </w:pPr>
          </w:p>
        </w:tc>
        <w:tc>
          <w:tcPr>
            <w:tcW w:w="3780" w:type="dxa"/>
            <w:tcBorders>
              <w:top w:val="single" w:sz="4" w:space="0" w:color="FF0000"/>
              <w:left w:val="single" w:sz="4" w:space="0" w:color="FF0000"/>
              <w:bottom w:val="single" w:sz="4" w:space="0" w:color="FF0000"/>
              <w:right w:val="single" w:sz="4" w:space="0" w:color="FF0000"/>
            </w:tcBorders>
            <w:shd w:val="clear" w:color="auto" w:fill="F0EBD3"/>
          </w:tcPr>
          <w:p w14:paraId="7AAFB39A" w14:textId="77777777" w:rsidR="00EB685C" w:rsidRPr="002D503B" w:rsidRDefault="00EB685C" w:rsidP="00335D64">
            <w:pPr>
              <w:pStyle w:val="AGENDA-body"/>
              <w:tabs>
                <w:tab w:val="clear" w:pos="5735"/>
                <w:tab w:val="clear" w:pos="7906"/>
                <w:tab w:val="clear" w:pos="10080"/>
              </w:tabs>
              <w:rPr>
                <w:rFonts w:asciiTheme="minorHAnsi" w:hAnsiTheme="minorHAnsi" w:cstheme="minorHAnsi"/>
                <w:spacing w:val="-7"/>
                <w:sz w:val="22"/>
                <w:szCs w:val="22"/>
              </w:rPr>
            </w:pPr>
            <w:r w:rsidRPr="002D503B">
              <w:rPr>
                <w:rFonts w:asciiTheme="minorHAnsi" w:hAnsiTheme="minorHAnsi" w:cstheme="minorHAnsi"/>
                <w:spacing w:val="-7"/>
                <w:sz w:val="22"/>
                <w:szCs w:val="22"/>
              </w:rPr>
              <w:t>Use spray kits for topical thrombin or have the pharmacy dispense thrombin in a topical syringe so it can’t connect to an IV line. Affix warning labels to syringes and bowls of the product to warn that it should only be given topically. Separate topical thrombin vials and syringes from parenteral products both on and off the sterile field. Consider using topical thrombin in powder form or adding it to absorbable gelatin sponges.</w:t>
            </w:r>
          </w:p>
        </w:tc>
        <w:tc>
          <w:tcPr>
            <w:tcW w:w="2700" w:type="dxa"/>
            <w:tcBorders>
              <w:top w:val="single" w:sz="4" w:space="0" w:color="FF0000"/>
              <w:left w:val="single" w:sz="4" w:space="0" w:color="FF0000"/>
              <w:bottom w:val="single" w:sz="4" w:space="0" w:color="FF0000"/>
              <w:right w:val="single" w:sz="4" w:space="0" w:color="FF0000"/>
            </w:tcBorders>
          </w:tcPr>
          <w:p w14:paraId="418A13E1" w14:textId="77777777" w:rsidR="00EB685C" w:rsidRPr="00C02132" w:rsidRDefault="00EB685C" w:rsidP="008C5601">
            <w:pPr>
              <w:pStyle w:val="AC-table-body"/>
              <w:tabs>
                <w:tab w:val="clear" w:pos="5735"/>
                <w:tab w:val="clear" w:pos="7906"/>
                <w:tab w:val="clear" w:pos="10080"/>
              </w:tabs>
            </w:pPr>
          </w:p>
        </w:tc>
        <w:tc>
          <w:tcPr>
            <w:tcW w:w="2610" w:type="dxa"/>
            <w:tcBorders>
              <w:top w:val="single" w:sz="4" w:space="0" w:color="FF0000"/>
              <w:left w:val="single" w:sz="4" w:space="0" w:color="FF0000"/>
              <w:bottom w:val="single" w:sz="4" w:space="0" w:color="FF0000"/>
              <w:right w:val="single" w:sz="4" w:space="0" w:color="FF0000"/>
            </w:tcBorders>
          </w:tcPr>
          <w:p w14:paraId="69297F2B" w14:textId="77777777" w:rsidR="00EB685C" w:rsidRPr="00C02132" w:rsidRDefault="00EB685C" w:rsidP="008C5601">
            <w:pPr>
              <w:pStyle w:val="AC-table-body"/>
              <w:tabs>
                <w:tab w:val="clear" w:pos="5735"/>
                <w:tab w:val="clear" w:pos="7906"/>
                <w:tab w:val="clear" w:pos="10080"/>
              </w:tabs>
            </w:pPr>
          </w:p>
        </w:tc>
        <w:tc>
          <w:tcPr>
            <w:tcW w:w="1206" w:type="dxa"/>
            <w:tcBorders>
              <w:top w:val="single" w:sz="4" w:space="0" w:color="FF0000"/>
              <w:left w:val="single" w:sz="4" w:space="0" w:color="FF0000"/>
              <w:bottom w:val="single" w:sz="4" w:space="0" w:color="FF0000"/>
              <w:right w:val="single" w:sz="4" w:space="0" w:color="FF0000"/>
            </w:tcBorders>
          </w:tcPr>
          <w:p w14:paraId="78008C0E" w14:textId="77777777" w:rsidR="00EB685C" w:rsidRPr="00C02132" w:rsidRDefault="00EB685C" w:rsidP="008C5601">
            <w:pPr>
              <w:pStyle w:val="AC-table-body"/>
              <w:tabs>
                <w:tab w:val="clear" w:pos="5735"/>
                <w:tab w:val="clear" w:pos="7906"/>
                <w:tab w:val="clear" w:pos="10080"/>
              </w:tabs>
            </w:pPr>
          </w:p>
        </w:tc>
      </w:tr>
      <w:tr w:rsidR="006C1A02" w:rsidRPr="00C02132" w14:paraId="2E8033DF" w14:textId="77777777" w:rsidTr="008C5601">
        <w:trPr>
          <w:jc w:val="center"/>
        </w:trPr>
        <w:tc>
          <w:tcPr>
            <w:tcW w:w="14688" w:type="dxa"/>
            <w:gridSpan w:val="6"/>
            <w:tcBorders>
              <w:top w:val="single" w:sz="4" w:space="0" w:color="FF0000"/>
              <w:left w:val="single" w:sz="4" w:space="0" w:color="FF0000"/>
              <w:bottom w:val="single" w:sz="4" w:space="0" w:color="FF0000"/>
              <w:right w:val="single" w:sz="4" w:space="0" w:color="FF0000"/>
            </w:tcBorders>
            <w:shd w:val="clear" w:color="auto" w:fill="EACB8B"/>
          </w:tcPr>
          <w:p w14:paraId="3E67C869" w14:textId="77777777" w:rsidR="006C1A02" w:rsidRPr="000A73CF" w:rsidRDefault="006C1A02" w:rsidP="00335D64">
            <w:pPr>
              <w:pStyle w:val="AGENDA-table-titles"/>
              <w:tabs>
                <w:tab w:val="clear" w:pos="5735"/>
                <w:tab w:val="clear" w:pos="7906"/>
                <w:tab w:val="clear" w:pos="10080"/>
              </w:tabs>
            </w:pPr>
            <w:r w:rsidRPr="000A73CF">
              <w:lastRenderedPageBreak/>
              <w:t xml:space="preserve">Mix-ups between </w:t>
            </w:r>
            <w:r w:rsidRPr="000A73CF">
              <w:rPr>
                <w:spacing w:val="-6"/>
                <w:w w:val="99"/>
              </w:rPr>
              <w:t xml:space="preserve">Fresenius Kabi’s </w:t>
            </w:r>
            <w:r w:rsidRPr="000A73CF">
              <w:rPr>
                <w:rFonts w:ascii="Univers LT Std 57 Cn" w:eastAsia="Univers LT Std 57 Cn" w:hAnsi="Univers LT Std 57 Cn" w:cs="Univers LT Std 57 Cn"/>
                <w:spacing w:val="-7"/>
                <w:w w:val="99"/>
                <w:sz w:val="20"/>
              </w:rPr>
              <w:t xml:space="preserve"> </w:t>
            </w:r>
            <w:r w:rsidRPr="000A73CF">
              <w:t xml:space="preserve">lipid emulsions, SMOFLIPID 20% (fish oil based) and INTRALIPID 20% (soy based) </w:t>
            </w:r>
          </w:p>
        </w:tc>
      </w:tr>
      <w:tr w:rsidR="006C1A02" w:rsidRPr="00C02132" w14:paraId="6175648B" w14:textId="77777777" w:rsidTr="00F22B45">
        <w:trPr>
          <w:jc w:val="center"/>
        </w:trPr>
        <w:tc>
          <w:tcPr>
            <w:tcW w:w="612" w:type="dxa"/>
            <w:tcBorders>
              <w:top w:val="single" w:sz="4" w:space="0" w:color="FF0000"/>
              <w:left w:val="single" w:sz="4" w:space="0" w:color="FF0000"/>
              <w:bottom w:val="single" w:sz="4" w:space="0" w:color="FF0000"/>
              <w:right w:val="single" w:sz="4" w:space="0" w:color="FF0000"/>
            </w:tcBorders>
            <w:shd w:val="clear" w:color="auto" w:fill="F0EBD3"/>
          </w:tcPr>
          <w:p w14:paraId="0752AFAE" w14:textId="77777777" w:rsidR="006C1A02" w:rsidRPr="000A73CF" w:rsidRDefault="006C1A02" w:rsidP="00335D64">
            <w:pPr>
              <w:pStyle w:val="AGENDA-body"/>
              <w:tabs>
                <w:tab w:val="clear" w:pos="5735"/>
                <w:tab w:val="clear" w:pos="7906"/>
                <w:tab w:val="clear" w:pos="10080"/>
              </w:tabs>
            </w:pPr>
            <w:r w:rsidRPr="000A73CF">
              <w:t>(5)</w:t>
            </w:r>
          </w:p>
        </w:tc>
        <w:tc>
          <w:tcPr>
            <w:tcW w:w="3780" w:type="dxa"/>
            <w:tcBorders>
              <w:top w:val="single" w:sz="4" w:space="0" w:color="FF0000"/>
              <w:left w:val="single" w:sz="4" w:space="0" w:color="FF0000"/>
              <w:bottom w:val="single" w:sz="4" w:space="0" w:color="FF0000"/>
              <w:right w:val="single" w:sz="4" w:space="0" w:color="FF0000"/>
            </w:tcBorders>
            <w:shd w:val="clear" w:color="auto" w:fill="FFF3D6"/>
          </w:tcPr>
          <w:p w14:paraId="0A2A6C7F" w14:textId="77777777" w:rsidR="006C1A02" w:rsidRPr="002D503B" w:rsidRDefault="006C1A02" w:rsidP="00335D64">
            <w:pPr>
              <w:pStyle w:val="AGENDA-body"/>
              <w:tabs>
                <w:tab w:val="clear" w:pos="5735"/>
                <w:tab w:val="clear" w:pos="7906"/>
                <w:tab w:val="clear" w:pos="10080"/>
              </w:tabs>
              <w:rPr>
                <w:rFonts w:asciiTheme="minorHAnsi" w:hAnsiTheme="minorHAnsi" w:cstheme="minorHAnsi"/>
                <w:sz w:val="22"/>
                <w:szCs w:val="22"/>
              </w:rPr>
            </w:pPr>
            <w:r w:rsidRPr="002D503B">
              <w:rPr>
                <w:rFonts w:asciiTheme="minorHAnsi" w:hAnsiTheme="minorHAnsi" w:cstheme="minorHAnsi"/>
                <w:spacing w:val="-7"/>
                <w:sz w:val="22"/>
                <w:szCs w:val="22"/>
              </w:rPr>
              <w:t xml:space="preserve">Smoflipid, a lipid emulsion that contains fish oil, has been confused with similar-looking bags of Intralipid, a soy-based emulsion. Smoflipid had been brought into the pharmacy to familiarize staff before adding it to the formulary, and it was accidentally dispensed instead of Intralipid. The primary concern </w:t>
            </w:r>
            <w:r w:rsidRPr="002D503B">
              <w:rPr>
                <w:rFonts w:asciiTheme="minorHAnsi" w:hAnsiTheme="minorHAnsi" w:cstheme="minorHAnsi"/>
                <w:sz w:val="22"/>
                <w:szCs w:val="22"/>
              </w:rPr>
              <w:t xml:space="preserve">is with patients who have a fish allergy. </w:t>
            </w:r>
          </w:p>
          <w:p w14:paraId="18910627" w14:textId="77777777" w:rsidR="001D22EF" w:rsidRPr="002D503B" w:rsidRDefault="001D22EF" w:rsidP="00335D64">
            <w:pPr>
              <w:pStyle w:val="AGENDA-body"/>
              <w:tabs>
                <w:tab w:val="clear" w:pos="5735"/>
                <w:tab w:val="clear" w:pos="7906"/>
                <w:tab w:val="clear" w:pos="10080"/>
              </w:tabs>
              <w:rPr>
                <w:rFonts w:asciiTheme="minorHAnsi" w:hAnsiTheme="minorHAnsi" w:cstheme="minorHAnsi"/>
                <w:sz w:val="22"/>
                <w:szCs w:val="22"/>
              </w:rPr>
            </w:pPr>
          </w:p>
          <w:p w14:paraId="0EA5BA9F" w14:textId="77777777" w:rsidR="001D22EF" w:rsidRPr="002D503B" w:rsidRDefault="001D22EF" w:rsidP="00335D64">
            <w:pPr>
              <w:pStyle w:val="AGENDA-body"/>
              <w:tabs>
                <w:tab w:val="clear" w:pos="5735"/>
                <w:tab w:val="clear" w:pos="7906"/>
                <w:tab w:val="clear" w:pos="10080"/>
              </w:tabs>
              <w:rPr>
                <w:rFonts w:asciiTheme="minorHAnsi" w:hAnsiTheme="minorHAnsi" w:cstheme="minorHAnsi"/>
                <w:sz w:val="22"/>
                <w:szCs w:val="22"/>
              </w:rPr>
            </w:pPr>
          </w:p>
        </w:tc>
        <w:tc>
          <w:tcPr>
            <w:tcW w:w="3780" w:type="dxa"/>
            <w:tcBorders>
              <w:top w:val="single" w:sz="4" w:space="0" w:color="FF0000"/>
              <w:left w:val="single" w:sz="4" w:space="0" w:color="FF0000"/>
              <w:bottom w:val="single" w:sz="4" w:space="0" w:color="FF0000"/>
              <w:right w:val="single" w:sz="4" w:space="0" w:color="FF0000"/>
            </w:tcBorders>
            <w:shd w:val="clear" w:color="auto" w:fill="F0EBD3"/>
          </w:tcPr>
          <w:p w14:paraId="06F51EF0" w14:textId="77777777" w:rsidR="006C1A02" w:rsidRPr="002D503B" w:rsidRDefault="006C1A02" w:rsidP="00335D64">
            <w:pPr>
              <w:pStyle w:val="AGENDA-body"/>
              <w:tabs>
                <w:tab w:val="clear" w:pos="5735"/>
                <w:tab w:val="clear" w:pos="7906"/>
                <w:tab w:val="clear" w:pos="10080"/>
              </w:tabs>
              <w:rPr>
                <w:rFonts w:asciiTheme="minorHAnsi" w:hAnsiTheme="minorHAnsi" w:cstheme="minorHAnsi"/>
                <w:spacing w:val="-8"/>
                <w:sz w:val="22"/>
                <w:szCs w:val="22"/>
              </w:rPr>
            </w:pPr>
            <w:r w:rsidRPr="002D503B">
              <w:rPr>
                <w:rFonts w:asciiTheme="minorHAnsi" w:hAnsiTheme="minorHAnsi" w:cstheme="minorHAnsi"/>
                <w:spacing w:val="-8"/>
                <w:sz w:val="22"/>
                <w:szCs w:val="22"/>
              </w:rPr>
              <w:t xml:space="preserve">In order entry systems, list the products as Smoflipid (Fat Emulsion 20%) and Intralipid (Fat Emulsion 20%) instead of listing “Fat Emulsion” first. Consider including a note about the type of fat in each product (fish oil vs. soybean). Use barcode scanning to verify products, and store them in separate locations. Sequester products before they are added to the formulary. </w:t>
            </w:r>
          </w:p>
        </w:tc>
        <w:tc>
          <w:tcPr>
            <w:tcW w:w="2700" w:type="dxa"/>
            <w:tcBorders>
              <w:top w:val="single" w:sz="4" w:space="0" w:color="FF0000"/>
              <w:left w:val="single" w:sz="4" w:space="0" w:color="FF0000"/>
              <w:bottom w:val="single" w:sz="4" w:space="0" w:color="FF0000"/>
              <w:right w:val="single" w:sz="4" w:space="0" w:color="FF0000"/>
            </w:tcBorders>
          </w:tcPr>
          <w:p w14:paraId="04B08102" w14:textId="77777777" w:rsidR="006C1A02" w:rsidRPr="00C02132" w:rsidRDefault="006C1A02" w:rsidP="008C5601">
            <w:pPr>
              <w:pStyle w:val="AC-table-body"/>
              <w:tabs>
                <w:tab w:val="clear" w:pos="5735"/>
                <w:tab w:val="clear" w:pos="7906"/>
                <w:tab w:val="clear" w:pos="10080"/>
              </w:tabs>
            </w:pPr>
          </w:p>
        </w:tc>
        <w:tc>
          <w:tcPr>
            <w:tcW w:w="2610" w:type="dxa"/>
            <w:tcBorders>
              <w:top w:val="single" w:sz="4" w:space="0" w:color="FF0000"/>
              <w:left w:val="single" w:sz="4" w:space="0" w:color="FF0000"/>
              <w:bottom w:val="single" w:sz="4" w:space="0" w:color="FF0000"/>
              <w:right w:val="single" w:sz="4" w:space="0" w:color="FF0000"/>
            </w:tcBorders>
          </w:tcPr>
          <w:p w14:paraId="0251D676" w14:textId="77777777" w:rsidR="006C1A02" w:rsidRPr="00C02132" w:rsidRDefault="006C1A02" w:rsidP="008C5601">
            <w:pPr>
              <w:pStyle w:val="AC-table-body"/>
              <w:tabs>
                <w:tab w:val="clear" w:pos="5735"/>
                <w:tab w:val="clear" w:pos="7906"/>
                <w:tab w:val="clear" w:pos="10080"/>
              </w:tabs>
            </w:pPr>
          </w:p>
        </w:tc>
        <w:tc>
          <w:tcPr>
            <w:tcW w:w="1206" w:type="dxa"/>
            <w:tcBorders>
              <w:top w:val="single" w:sz="4" w:space="0" w:color="FF0000"/>
              <w:left w:val="single" w:sz="4" w:space="0" w:color="FF0000"/>
              <w:bottom w:val="single" w:sz="4" w:space="0" w:color="FF0000"/>
              <w:right w:val="single" w:sz="4" w:space="0" w:color="FF0000"/>
            </w:tcBorders>
          </w:tcPr>
          <w:p w14:paraId="189D3134" w14:textId="77777777" w:rsidR="006C1A02" w:rsidRPr="00C02132" w:rsidRDefault="006C1A02" w:rsidP="008C5601">
            <w:pPr>
              <w:pStyle w:val="AC-table-body"/>
              <w:tabs>
                <w:tab w:val="clear" w:pos="5735"/>
                <w:tab w:val="clear" w:pos="7906"/>
                <w:tab w:val="clear" w:pos="10080"/>
              </w:tabs>
            </w:pPr>
          </w:p>
        </w:tc>
      </w:tr>
      <w:tr w:rsidR="00E31488" w:rsidRPr="00C02132" w14:paraId="4490933D" w14:textId="77777777" w:rsidTr="008C5601">
        <w:trPr>
          <w:jc w:val="center"/>
        </w:trPr>
        <w:tc>
          <w:tcPr>
            <w:tcW w:w="14688" w:type="dxa"/>
            <w:gridSpan w:val="6"/>
            <w:tcBorders>
              <w:top w:val="single" w:sz="4" w:space="0" w:color="FF0000"/>
              <w:left w:val="single" w:sz="4" w:space="0" w:color="FF0000"/>
              <w:bottom w:val="single" w:sz="4" w:space="0" w:color="FF0000"/>
              <w:right w:val="single" w:sz="4" w:space="0" w:color="FF0000"/>
            </w:tcBorders>
            <w:shd w:val="clear" w:color="auto" w:fill="EACB8B"/>
          </w:tcPr>
          <w:p w14:paraId="6F9F125E" w14:textId="77777777" w:rsidR="00E31488" w:rsidRPr="000A73CF" w:rsidRDefault="00E31488" w:rsidP="00335D64">
            <w:pPr>
              <w:pStyle w:val="AGENDA-table-titles"/>
              <w:tabs>
                <w:tab w:val="clear" w:pos="5735"/>
                <w:tab w:val="clear" w:pos="7906"/>
                <w:tab w:val="clear" w:pos="10080"/>
              </w:tabs>
            </w:pPr>
            <w:r w:rsidRPr="000A73CF">
              <w:t xml:space="preserve">Inconsistent expression of strength on outsourced anesthesia syringes </w:t>
            </w:r>
          </w:p>
        </w:tc>
      </w:tr>
      <w:tr w:rsidR="00E31488" w:rsidRPr="00C02132" w14:paraId="7B37AD1E" w14:textId="77777777" w:rsidTr="00F22B45">
        <w:trPr>
          <w:jc w:val="center"/>
        </w:trPr>
        <w:tc>
          <w:tcPr>
            <w:tcW w:w="612" w:type="dxa"/>
            <w:tcBorders>
              <w:top w:val="single" w:sz="4" w:space="0" w:color="FF0000"/>
              <w:left w:val="single" w:sz="4" w:space="0" w:color="FF0000"/>
              <w:bottom w:val="single" w:sz="4" w:space="0" w:color="FF0000"/>
              <w:right w:val="single" w:sz="4" w:space="0" w:color="FF0000"/>
            </w:tcBorders>
            <w:shd w:val="clear" w:color="auto" w:fill="F0EBD3"/>
          </w:tcPr>
          <w:p w14:paraId="796D64FF" w14:textId="77777777" w:rsidR="00E31488" w:rsidRPr="004847A3" w:rsidRDefault="00E31488" w:rsidP="00260A21">
            <w:pPr>
              <w:pStyle w:val="AGENDA-body"/>
            </w:pPr>
            <w:r>
              <w:t>(6</w:t>
            </w:r>
            <w:r w:rsidRPr="00C945B9">
              <w:t>)</w:t>
            </w:r>
            <w:r w:rsidRPr="004847A3">
              <w:t xml:space="preserve"> </w:t>
            </w:r>
          </w:p>
          <w:p w14:paraId="74C882AB" w14:textId="77777777" w:rsidR="00E31488" w:rsidRPr="00C945B9" w:rsidRDefault="00E31488" w:rsidP="00260A21">
            <w:pPr>
              <w:pStyle w:val="AGENDA-body"/>
              <w:tabs>
                <w:tab w:val="clear" w:pos="5735"/>
                <w:tab w:val="clear" w:pos="7906"/>
                <w:tab w:val="clear" w:pos="10080"/>
              </w:tabs>
            </w:pPr>
            <w:r w:rsidRPr="004847A3">
              <w:rPr>
                <w:noProof/>
                <w:lang w:bidi="ar-SA"/>
              </w:rPr>
              <w:drawing>
                <wp:inline distT="0" distB="0" distL="0" distR="0" wp14:anchorId="3293C46D" wp14:editId="69E35413">
                  <wp:extent cx="152387" cy="12191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da safety icon-alert.png"/>
                          <pic:cNvPicPr/>
                        </pic:nvPicPr>
                        <pic:blipFill>
                          <a:blip r:embed="rId10">
                            <a:extLst>
                              <a:ext uri="{28A0092B-C50C-407E-A947-70E740481C1C}">
                                <a14:useLocalDpi xmlns:a14="http://schemas.microsoft.com/office/drawing/2010/main" val="0"/>
                              </a:ext>
                            </a:extLst>
                          </a:blip>
                          <a:stretch>
                            <a:fillRect/>
                          </a:stretch>
                        </pic:blipFill>
                        <pic:spPr>
                          <a:xfrm>
                            <a:off x="0" y="0"/>
                            <a:ext cx="152387" cy="121910"/>
                          </a:xfrm>
                          <a:prstGeom prst="rect">
                            <a:avLst/>
                          </a:prstGeom>
                        </pic:spPr>
                      </pic:pic>
                    </a:graphicData>
                  </a:graphic>
                </wp:inline>
              </w:drawing>
            </w:r>
          </w:p>
        </w:tc>
        <w:tc>
          <w:tcPr>
            <w:tcW w:w="3780" w:type="dxa"/>
            <w:tcBorders>
              <w:top w:val="single" w:sz="4" w:space="0" w:color="FF0000"/>
              <w:left w:val="single" w:sz="4" w:space="0" w:color="FF0000"/>
              <w:bottom w:val="single" w:sz="4" w:space="0" w:color="FF0000"/>
              <w:right w:val="single" w:sz="4" w:space="0" w:color="FF0000"/>
            </w:tcBorders>
            <w:shd w:val="clear" w:color="auto" w:fill="FFF3D6"/>
          </w:tcPr>
          <w:p w14:paraId="4B49DA06" w14:textId="77777777" w:rsidR="001D22EF" w:rsidRPr="002D503B" w:rsidRDefault="00E31488" w:rsidP="00335D64">
            <w:pPr>
              <w:pStyle w:val="AGENDA-body"/>
              <w:tabs>
                <w:tab w:val="clear" w:pos="5735"/>
                <w:tab w:val="clear" w:pos="7906"/>
                <w:tab w:val="clear" w:pos="10080"/>
              </w:tabs>
              <w:rPr>
                <w:rFonts w:asciiTheme="minorHAnsi" w:hAnsiTheme="minorHAnsi" w:cstheme="minorHAnsi"/>
                <w:spacing w:val="-7"/>
                <w:sz w:val="22"/>
                <w:szCs w:val="22"/>
              </w:rPr>
            </w:pPr>
            <w:r w:rsidRPr="002D503B">
              <w:rPr>
                <w:rFonts w:asciiTheme="minorHAnsi" w:hAnsiTheme="minorHAnsi" w:cstheme="minorHAnsi"/>
                <w:spacing w:val="-7"/>
                <w:sz w:val="22"/>
                <w:szCs w:val="22"/>
              </w:rPr>
              <w:t xml:space="preserve">Some outsourcing companies that dispense prefilled anesthesia medication syringes prominently display the strength on the label as the amount per mL rather than the amount per total volume. This can confuse a practitioner who is familiar with other labels that list the amount per container prominently. </w:t>
            </w:r>
          </w:p>
          <w:p w14:paraId="6B3DF46A" w14:textId="77777777" w:rsidR="001D22EF" w:rsidRPr="002D503B" w:rsidRDefault="001D22EF" w:rsidP="00335D64">
            <w:pPr>
              <w:pStyle w:val="AGENDA-body"/>
              <w:tabs>
                <w:tab w:val="clear" w:pos="5735"/>
                <w:tab w:val="clear" w:pos="7906"/>
                <w:tab w:val="clear" w:pos="10080"/>
              </w:tabs>
              <w:rPr>
                <w:rFonts w:asciiTheme="minorHAnsi" w:hAnsiTheme="minorHAnsi" w:cstheme="minorHAnsi"/>
                <w:spacing w:val="-7"/>
                <w:sz w:val="22"/>
                <w:szCs w:val="22"/>
              </w:rPr>
            </w:pPr>
          </w:p>
        </w:tc>
        <w:tc>
          <w:tcPr>
            <w:tcW w:w="3780" w:type="dxa"/>
            <w:tcBorders>
              <w:top w:val="single" w:sz="4" w:space="0" w:color="FF0000"/>
              <w:left w:val="single" w:sz="4" w:space="0" w:color="FF0000"/>
              <w:bottom w:val="single" w:sz="4" w:space="0" w:color="FF0000"/>
              <w:right w:val="single" w:sz="4" w:space="0" w:color="FF0000"/>
            </w:tcBorders>
            <w:shd w:val="clear" w:color="auto" w:fill="F0EBD3"/>
          </w:tcPr>
          <w:p w14:paraId="42D6775A" w14:textId="77777777" w:rsidR="00E31488" w:rsidRPr="002D503B" w:rsidRDefault="00E31488" w:rsidP="00335D64">
            <w:pPr>
              <w:pStyle w:val="AGENDA-body"/>
              <w:tabs>
                <w:tab w:val="clear" w:pos="5735"/>
                <w:tab w:val="clear" w:pos="7906"/>
                <w:tab w:val="clear" w:pos="10080"/>
              </w:tabs>
              <w:rPr>
                <w:rFonts w:asciiTheme="minorHAnsi" w:hAnsiTheme="minorHAnsi" w:cstheme="minorHAnsi"/>
                <w:sz w:val="22"/>
                <w:szCs w:val="22"/>
              </w:rPr>
            </w:pPr>
            <w:r w:rsidRPr="002D503B">
              <w:rPr>
                <w:rFonts w:asciiTheme="minorHAnsi" w:hAnsiTheme="minorHAnsi" w:cstheme="minorHAnsi"/>
                <w:sz w:val="22"/>
                <w:szCs w:val="22"/>
              </w:rPr>
              <w:t xml:space="preserve">Explain this issue to anesthesia staff, and have outsourcing companies correctly list the strength per total volume as the primary and prominent expression of strength, as per the USP &lt;7&gt; requirement for all commercially available parenterals in vials, ampuls, and prefilled syringes.  </w:t>
            </w:r>
          </w:p>
        </w:tc>
        <w:tc>
          <w:tcPr>
            <w:tcW w:w="2700" w:type="dxa"/>
            <w:tcBorders>
              <w:top w:val="single" w:sz="4" w:space="0" w:color="FF0000"/>
              <w:left w:val="single" w:sz="4" w:space="0" w:color="FF0000"/>
              <w:bottom w:val="single" w:sz="4" w:space="0" w:color="FF0000"/>
              <w:right w:val="single" w:sz="4" w:space="0" w:color="FF0000"/>
            </w:tcBorders>
          </w:tcPr>
          <w:p w14:paraId="38AD8074" w14:textId="77777777" w:rsidR="00E31488" w:rsidRPr="00C02132" w:rsidRDefault="00E31488" w:rsidP="008C5601">
            <w:pPr>
              <w:pStyle w:val="AC-table-body"/>
              <w:tabs>
                <w:tab w:val="clear" w:pos="5735"/>
                <w:tab w:val="clear" w:pos="7906"/>
                <w:tab w:val="clear" w:pos="10080"/>
              </w:tabs>
            </w:pPr>
          </w:p>
        </w:tc>
        <w:tc>
          <w:tcPr>
            <w:tcW w:w="2610" w:type="dxa"/>
            <w:tcBorders>
              <w:top w:val="single" w:sz="4" w:space="0" w:color="FF0000"/>
              <w:left w:val="single" w:sz="4" w:space="0" w:color="FF0000"/>
              <w:bottom w:val="single" w:sz="4" w:space="0" w:color="FF0000"/>
              <w:right w:val="single" w:sz="4" w:space="0" w:color="FF0000"/>
            </w:tcBorders>
          </w:tcPr>
          <w:p w14:paraId="7325A3ED" w14:textId="77777777" w:rsidR="00E31488" w:rsidRPr="00C02132" w:rsidRDefault="00E31488" w:rsidP="008C5601">
            <w:pPr>
              <w:pStyle w:val="AC-table-body"/>
              <w:tabs>
                <w:tab w:val="clear" w:pos="5735"/>
                <w:tab w:val="clear" w:pos="7906"/>
                <w:tab w:val="clear" w:pos="10080"/>
              </w:tabs>
            </w:pPr>
          </w:p>
        </w:tc>
        <w:tc>
          <w:tcPr>
            <w:tcW w:w="1206" w:type="dxa"/>
            <w:tcBorders>
              <w:top w:val="single" w:sz="4" w:space="0" w:color="FF0000"/>
              <w:left w:val="single" w:sz="4" w:space="0" w:color="FF0000"/>
              <w:bottom w:val="single" w:sz="4" w:space="0" w:color="FF0000"/>
              <w:right w:val="single" w:sz="4" w:space="0" w:color="FF0000"/>
            </w:tcBorders>
          </w:tcPr>
          <w:p w14:paraId="060EA75F" w14:textId="77777777" w:rsidR="00E31488" w:rsidRPr="00C02132" w:rsidRDefault="00E31488" w:rsidP="008C5601">
            <w:pPr>
              <w:pStyle w:val="AC-table-body"/>
              <w:tabs>
                <w:tab w:val="clear" w:pos="5735"/>
                <w:tab w:val="clear" w:pos="7906"/>
                <w:tab w:val="clear" w:pos="10080"/>
              </w:tabs>
            </w:pPr>
          </w:p>
        </w:tc>
      </w:tr>
      <w:tr w:rsidR="00E31488" w:rsidRPr="00C02132" w14:paraId="743D200E" w14:textId="77777777" w:rsidTr="008C5601">
        <w:trPr>
          <w:jc w:val="center"/>
        </w:trPr>
        <w:tc>
          <w:tcPr>
            <w:tcW w:w="14688" w:type="dxa"/>
            <w:gridSpan w:val="6"/>
            <w:tcBorders>
              <w:top w:val="single" w:sz="4" w:space="0" w:color="FF0000"/>
              <w:left w:val="single" w:sz="4" w:space="0" w:color="FF0000"/>
              <w:bottom w:val="single" w:sz="4" w:space="0" w:color="FF0000"/>
              <w:right w:val="single" w:sz="4" w:space="0" w:color="FF0000"/>
            </w:tcBorders>
            <w:shd w:val="clear" w:color="auto" w:fill="EACB8B"/>
          </w:tcPr>
          <w:p w14:paraId="21F94E4A" w14:textId="77777777" w:rsidR="00E31488" w:rsidRPr="000A73CF" w:rsidRDefault="00E31488" w:rsidP="00335D64">
            <w:pPr>
              <w:pStyle w:val="AGENDA-table-titles"/>
              <w:tabs>
                <w:tab w:val="clear" w:pos="5735"/>
                <w:tab w:val="clear" w:pos="7906"/>
                <w:tab w:val="clear" w:pos="10080"/>
              </w:tabs>
            </w:pPr>
            <w:r w:rsidRPr="000A73CF">
              <w:t xml:space="preserve">TOPOSAR and generic etoposide injection labels with wrong strength expression </w:t>
            </w:r>
          </w:p>
        </w:tc>
      </w:tr>
      <w:tr w:rsidR="00E31488" w:rsidRPr="00C02132" w14:paraId="779E6F5A" w14:textId="77777777" w:rsidTr="00F22B45">
        <w:trPr>
          <w:jc w:val="center"/>
        </w:trPr>
        <w:tc>
          <w:tcPr>
            <w:tcW w:w="612" w:type="dxa"/>
            <w:tcBorders>
              <w:top w:val="single" w:sz="4" w:space="0" w:color="FF0000"/>
              <w:left w:val="single" w:sz="4" w:space="0" w:color="FF0000"/>
              <w:bottom w:val="single" w:sz="4" w:space="0" w:color="FF0000"/>
              <w:right w:val="single" w:sz="4" w:space="0" w:color="FF0000"/>
            </w:tcBorders>
            <w:shd w:val="clear" w:color="auto" w:fill="F0EBD3"/>
          </w:tcPr>
          <w:p w14:paraId="6803BB9C" w14:textId="77777777" w:rsidR="001D22EF" w:rsidRPr="004847A3" w:rsidRDefault="00E31488" w:rsidP="001D22EF">
            <w:pPr>
              <w:pStyle w:val="AGENDA-body"/>
            </w:pPr>
            <w:r w:rsidRPr="000A73CF">
              <w:t>(5)</w:t>
            </w:r>
            <w:r w:rsidR="001D22EF" w:rsidRPr="004847A3">
              <w:t xml:space="preserve"> </w:t>
            </w:r>
          </w:p>
          <w:p w14:paraId="724139B1" w14:textId="77777777" w:rsidR="00E31488" w:rsidRPr="000A73CF" w:rsidRDefault="001D22EF" w:rsidP="001D22EF">
            <w:pPr>
              <w:pStyle w:val="AGENDA-body"/>
              <w:tabs>
                <w:tab w:val="clear" w:pos="5735"/>
                <w:tab w:val="clear" w:pos="7906"/>
                <w:tab w:val="clear" w:pos="10080"/>
              </w:tabs>
            </w:pPr>
            <w:r w:rsidRPr="004847A3">
              <w:rPr>
                <w:noProof/>
                <w:lang w:bidi="ar-SA"/>
              </w:rPr>
              <w:drawing>
                <wp:inline distT="0" distB="0" distL="0" distR="0" wp14:anchorId="511D4BDF" wp14:editId="6BF48439">
                  <wp:extent cx="152387" cy="12191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da safety icon-alert.png"/>
                          <pic:cNvPicPr/>
                        </pic:nvPicPr>
                        <pic:blipFill>
                          <a:blip r:embed="rId10">
                            <a:extLst>
                              <a:ext uri="{28A0092B-C50C-407E-A947-70E740481C1C}">
                                <a14:useLocalDpi xmlns:a14="http://schemas.microsoft.com/office/drawing/2010/main" val="0"/>
                              </a:ext>
                            </a:extLst>
                          </a:blip>
                          <a:stretch>
                            <a:fillRect/>
                          </a:stretch>
                        </pic:blipFill>
                        <pic:spPr>
                          <a:xfrm>
                            <a:off x="0" y="0"/>
                            <a:ext cx="152387" cy="121910"/>
                          </a:xfrm>
                          <a:prstGeom prst="rect">
                            <a:avLst/>
                          </a:prstGeom>
                        </pic:spPr>
                      </pic:pic>
                    </a:graphicData>
                  </a:graphic>
                </wp:inline>
              </w:drawing>
            </w:r>
          </w:p>
        </w:tc>
        <w:tc>
          <w:tcPr>
            <w:tcW w:w="3780" w:type="dxa"/>
            <w:tcBorders>
              <w:top w:val="single" w:sz="4" w:space="0" w:color="FF0000"/>
              <w:left w:val="single" w:sz="4" w:space="0" w:color="FF0000"/>
              <w:bottom w:val="single" w:sz="4" w:space="0" w:color="FF0000"/>
              <w:right w:val="single" w:sz="4" w:space="0" w:color="FF0000"/>
            </w:tcBorders>
            <w:shd w:val="clear" w:color="auto" w:fill="FFF3D6"/>
          </w:tcPr>
          <w:p w14:paraId="4B4F3C54" w14:textId="77777777" w:rsidR="001D22EF" w:rsidRPr="002D503B" w:rsidRDefault="00E31488" w:rsidP="00335D64">
            <w:pPr>
              <w:pStyle w:val="AGENDA-body"/>
              <w:tabs>
                <w:tab w:val="clear" w:pos="5735"/>
                <w:tab w:val="clear" w:pos="7906"/>
                <w:tab w:val="clear" w:pos="10080"/>
              </w:tabs>
              <w:rPr>
                <w:rFonts w:asciiTheme="minorHAnsi" w:hAnsiTheme="minorHAnsi" w:cstheme="minorHAnsi"/>
                <w:spacing w:val="-7"/>
                <w:sz w:val="22"/>
                <w:szCs w:val="22"/>
              </w:rPr>
            </w:pPr>
            <w:r w:rsidRPr="002D503B">
              <w:rPr>
                <w:rFonts w:asciiTheme="minorHAnsi" w:hAnsiTheme="minorHAnsi" w:cstheme="minorHAnsi"/>
                <w:spacing w:val="-7"/>
                <w:sz w:val="22"/>
                <w:szCs w:val="22"/>
              </w:rPr>
              <w:t>The labels on Toposar (Teva) and gen-eric etoposide (Fresenius Kabi) prominently display the amount of drug per mL instead of the total amount per vial. This is not consistent with USP &lt;7&gt; requirements. The labeling could cause a practitioner to believe that the amount per mL is t</w:t>
            </w:r>
            <w:r w:rsidR="002D503B">
              <w:rPr>
                <w:rFonts w:asciiTheme="minorHAnsi" w:hAnsiTheme="minorHAnsi" w:cstheme="minorHAnsi"/>
                <w:spacing w:val="-7"/>
                <w:sz w:val="22"/>
                <w:szCs w:val="22"/>
              </w:rPr>
              <w:t>he total amount in the vial.</w:t>
            </w:r>
          </w:p>
          <w:p w14:paraId="39CA3443" w14:textId="77777777" w:rsidR="001D22EF" w:rsidRPr="002D503B" w:rsidRDefault="001D22EF" w:rsidP="00335D64">
            <w:pPr>
              <w:pStyle w:val="AGENDA-body"/>
              <w:tabs>
                <w:tab w:val="clear" w:pos="5735"/>
                <w:tab w:val="clear" w:pos="7906"/>
                <w:tab w:val="clear" w:pos="10080"/>
              </w:tabs>
              <w:rPr>
                <w:rFonts w:asciiTheme="minorHAnsi" w:hAnsiTheme="minorHAnsi" w:cstheme="minorHAnsi"/>
                <w:spacing w:val="-7"/>
                <w:sz w:val="22"/>
                <w:szCs w:val="22"/>
              </w:rPr>
            </w:pPr>
          </w:p>
        </w:tc>
        <w:tc>
          <w:tcPr>
            <w:tcW w:w="3780" w:type="dxa"/>
            <w:tcBorders>
              <w:top w:val="single" w:sz="4" w:space="0" w:color="FF0000"/>
              <w:left w:val="single" w:sz="4" w:space="0" w:color="FF0000"/>
              <w:bottom w:val="single" w:sz="4" w:space="0" w:color="FF0000"/>
              <w:right w:val="single" w:sz="4" w:space="0" w:color="FF0000"/>
            </w:tcBorders>
            <w:shd w:val="clear" w:color="auto" w:fill="F0EBD3"/>
          </w:tcPr>
          <w:p w14:paraId="1D43CEB3" w14:textId="77777777" w:rsidR="00E31488" w:rsidRPr="002D503B" w:rsidRDefault="00E31488" w:rsidP="00335D64">
            <w:pPr>
              <w:pStyle w:val="AGENDA-body"/>
              <w:tabs>
                <w:tab w:val="clear" w:pos="5735"/>
                <w:tab w:val="clear" w:pos="7906"/>
                <w:tab w:val="clear" w:pos="10080"/>
              </w:tabs>
              <w:rPr>
                <w:rFonts w:asciiTheme="minorHAnsi" w:hAnsiTheme="minorHAnsi" w:cstheme="minorHAnsi"/>
                <w:spacing w:val="-7"/>
                <w:sz w:val="22"/>
                <w:szCs w:val="22"/>
              </w:rPr>
            </w:pPr>
            <w:r w:rsidRPr="002D503B">
              <w:rPr>
                <w:rFonts w:asciiTheme="minorHAnsi" w:hAnsiTheme="minorHAnsi" w:cstheme="minorHAnsi"/>
                <w:spacing w:val="-7"/>
                <w:sz w:val="22"/>
                <w:szCs w:val="22"/>
              </w:rPr>
              <w:t xml:space="preserve">Place an auxiliary label on the carton and vial prominently stating the total strength per total volume. Barcode scanning during intravenous (IV) drug preparation may also help prevent an error. The US Food and Drug Admin-istration (FDA) is investigating the label issue. </w:t>
            </w:r>
          </w:p>
        </w:tc>
        <w:tc>
          <w:tcPr>
            <w:tcW w:w="2700" w:type="dxa"/>
            <w:tcBorders>
              <w:top w:val="single" w:sz="4" w:space="0" w:color="FF0000"/>
              <w:left w:val="single" w:sz="4" w:space="0" w:color="FF0000"/>
              <w:bottom w:val="single" w:sz="4" w:space="0" w:color="FF0000"/>
              <w:right w:val="single" w:sz="4" w:space="0" w:color="FF0000"/>
            </w:tcBorders>
          </w:tcPr>
          <w:p w14:paraId="4D5D7322" w14:textId="77777777" w:rsidR="00E31488" w:rsidRPr="00C02132" w:rsidRDefault="00E31488" w:rsidP="008C5601">
            <w:pPr>
              <w:pStyle w:val="AC-table-body"/>
              <w:tabs>
                <w:tab w:val="clear" w:pos="5735"/>
                <w:tab w:val="clear" w:pos="7906"/>
                <w:tab w:val="clear" w:pos="10080"/>
              </w:tabs>
            </w:pPr>
          </w:p>
        </w:tc>
        <w:tc>
          <w:tcPr>
            <w:tcW w:w="2610" w:type="dxa"/>
            <w:tcBorders>
              <w:top w:val="single" w:sz="4" w:space="0" w:color="FF0000"/>
              <w:left w:val="single" w:sz="4" w:space="0" w:color="FF0000"/>
              <w:bottom w:val="single" w:sz="4" w:space="0" w:color="FF0000"/>
              <w:right w:val="single" w:sz="4" w:space="0" w:color="FF0000"/>
            </w:tcBorders>
          </w:tcPr>
          <w:p w14:paraId="1516AB7B" w14:textId="77777777" w:rsidR="00E31488" w:rsidRPr="00C02132" w:rsidRDefault="00E31488" w:rsidP="008C5601">
            <w:pPr>
              <w:pStyle w:val="AC-table-body"/>
              <w:tabs>
                <w:tab w:val="clear" w:pos="5735"/>
                <w:tab w:val="clear" w:pos="7906"/>
                <w:tab w:val="clear" w:pos="10080"/>
              </w:tabs>
            </w:pPr>
          </w:p>
        </w:tc>
        <w:tc>
          <w:tcPr>
            <w:tcW w:w="1206" w:type="dxa"/>
            <w:tcBorders>
              <w:top w:val="single" w:sz="4" w:space="0" w:color="FF0000"/>
              <w:left w:val="single" w:sz="4" w:space="0" w:color="FF0000"/>
              <w:bottom w:val="single" w:sz="4" w:space="0" w:color="FF0000"/>
              <w:right w:val="single" w:sz="4" w:space="0" w:color="FF0000"/>
            </w:tcBorders>
          </w:tcPr>
          <w:p w14:paraId="21BD5624" w14:textId="77777777" w:rsidR="00E31488" w:rsidRPr="00C02132" w:rsidRDefault="00E31488" w:rsidP="008C5601">
            <w:pPr>
              <w:pStyle w:val="AC-table-body"/>
              <w:tabs>
                <w:tab w:val="clear" w:pos="5735"/>
                <w:tab w:val="clear" w:pos="7906"/>
                <w:tab w:val="clear" w:pos="10080"/>
              </w:tabs>
            </w:pPr>
          </w:p>
        </w:tc>
      </w:tr>
      <w:tr w:rsidR="00500EEB" w:rsidRPr="00C02132" w14:paraId="160A4241" w14:textId="77777777" w:rsidTr="008C5601">
        <w:trPr>
          <w:jc w:val="center"/>
        </w:trPr>
        <w:tc>
          <w:tcPr>
            <w:tcW w:w="14688" w:type="dxa"/>
            <w:gridSpan w:val="6"/>
            <w:tcBorders>
              <w:top w:val="single" w:sz="4" w:space="0" w:color="FF0000"/>
              <w:left w:val="single" w:sz="4" w:space="0" w:color="FF0000"/>
              <w:bottom w:val="single" w:sz="4" w:space="0" w:color="FF0000"/>
              <w:right w:val="single" w:sz="4" w:space="0" w:color="FF0000"/>
            </w:tcBorders>
            <w:shd w:val="clear" w:color="auto" w:fill="EACB8B"/>
          </w:tcPr>
          <w:p w14:paraId="1422CC74" w14:textId="77777777" w:rsidR="00500EEB" w:rsidRPr="000A73CF" w:rsidRDefault="00500EEB" w:rsidP="00335D64">
            <w:pPr>
              <w:pStyle w:val="AGENDA-table-titles"/>
              <w:tabs>
                <w:tab w:val="clear" w:pos="5735"/>
                <w:tab w:val="clear" w:pos="7906"/>
                <w:tab w:val="clear" w:pos="10080"/>
              </w:tabs>
            </w:pPr>
            <w:r w:rsidRPr="000A73CF">
              <w:t xml:space="preserve">Concomitant use of ENTRESTO (sacubitril/valsartan) and angiotensin converting enzyme (ACE) inhibitors can lead to serious outcomes </w:t>
            </w:r>
          </w:p>
        </w:tc>
      </w:tr>
      <w:tr w:rsidR="00500EEB" w:rsidRPr="00C02132" w14:paraId="66CE8FE8" w14:textId="77777777" w:rsidTr="00F22B45">
        <w:trPr>
          <w:jc w:val="center"/>
        </w:trPr>
        <w:tc>
          <w:tcPr>
            <w:tcW w:w="612" w:type="dxa"/>
            <w:tcBorders>
              <w:top w:val="single" w:sz="4" w:space="0" w:color="FF0000"/>
              <w:left w:val="single" w:sz="4" w:space="0" w:color="FF0000"/>
              <w:bottom w:val="single" w:sz="4" w:space="0" w:color="FF0000"/>
              <w:right w:val="single" w:sz="4" w:space="0" w:color="FF0000"/>
            </w:tcBorders>
            <w:shd w:val="clear" w:color="auto" w:fill="F0EBD3"/>
          </w:tcPr>
          <w:p w14:paraId="229C6F5D" w14:textId="77777777" w:rsidR="00500EEB" w:rsidRPr="000A73CF" w:rsidRDefault="00500EEB" w:rsidP="00335D64">
            <w:pPr>
              <w:pStyle w:val="AGENDA-body"/>
              <w:tabs>
                <w:tab w:val="clear" w:pos="5735"/>
                <w:tab w:val="clear" w:pos="7906"/>
                <w:tab w:val="clear" w:pos="10080"/>
              </w:tabs>
            </w:pPr>
            <w:r w:rsidRPr="000A73CF">
              <w:t>(1)</w:t>
            </w:r>
          </w:p>
        </w:tc>
        <w:tc>
          <w:tcPr>
            <w:tcW w:w="3780" w:type="dxa"/>
            <w:tcBorders>
              <w:top w:val="single" w:sz="4" w:space="0" w:color="FF0000"/>
              <w:left w:val="single" w:sz="4" w:space="0" w:color="FF0000"/>
              <w:bottom w:val="single" w:sz="4" w:space="0" w:color="FF0000"/>
              <w:right w:val="single" w:sz="4" w:space="0" w:color="FF0000"/>
            </w:tcBorders>
            <w:shd w:val="clear" w:color="auto" w:fill="FFF3D6"/>
          </w:tcPr>
          <w:p w14:paraId="6668FBA7" w14:textId="77777777" w:rsidR="00500EEB" w:rsidRPr="002D503B" w:rsidRDefault="00500EEB" w:rsidP="00335D64">
            <w:pPr>
              <w:pStyle w:val="AGENDA-body"/>
              <w:tabs>
                <w:tab w:val="clear" w:pos="5735"/>
                <w:tab w:val="clear" w:pos="7906"/>
                <w:tab w:val="clear" w:pos="10080"/>
              </w:tabs>
              <w:rPr>
                <w:rFonts w:asciiTheme="minorHAnsi" w:hAnsiTheme="minorHAnsi" w:cstheme="minorHAnsi"/>
                <w:sz w:val="22"/>
                <w:szCs w:val="22"/>
              </w:rPr>
            </w:pPr>
            <w:r w:rsidRPr="002D503B">
              <w:rPr>
                <w:rFonts w:asciiTheme="minorHAnsi" w:hAnsiTheme="minorHAnsi" w:cstheme="minorHAnsi"/>
                <w:b/>
                <w:spacing w:val="-7"/>
                <w:sz w:val="22"/>
                <w:szCs w:val="22"/>
              </w:rPr>
              <w:t>ENTRESTO</w:t>
            </w:r>
            <w:r w:rsidRPr="002D503B">
              <w:rPr>
                <w:rFonts w:asciiTheme="minorHAnsi" w:hAnsiTheme="minorHAnsi" w:cstheme="minorHAnsi"/>
                <w:spacing w:val="-7"/>
                <w:sz w:val="22"/>
                <w:szCs w:val="22"/>
              </w:rPr>
              <w:t xml:space="preserve"> should not be administered within 36 hours of switching to or from an ACE inhibitor. More than 50 cases of concomitant use have been reported to the US Food and Drug Administration (FDA), 11 of which required hospital</w:t>
            </w:r>
            <w:r w:rsidRPr="002D503B">
              <w:rPr>
                <w:rFonts w:asciiTheme="minorHAnsi" w:hAnsiTheme="minorHAnsi" w:cstheme="minorHAnsi"/>
                <w:sz w:val="22"/>
                <w:szCs w:val="22"/>
              </w:rPr>
              <w:t>ization due to angioedema, hyperkalemia, acute kidney injury, and hypotension.</w:t>
            </w:r>
          </w:p>
          <w:p w14:paraId="648B30B3" w14:textId="77777777" w:rsidR="001D22EF" w:rsidRPr="002D503B" w:rsidRDefault="001D22EF" w:rsidP="00335D64">
            <w:pPr>
              <w:pStyle w:val="AGENDA-body"/>
              <w:tabs>
                <w:tab w:val="clear" w:pos="5735"/>
                <w:tab w:val="clear" w:pos="7906"/>
                <w:tab w:val="clear" w:pos="10080"/>
              </w:tabs>
              <w:rPr>
                <w:rFonts w:asciiTheme="minorHAnsi" w:hAnsiTheme="minorHAnsi" w:cstheme="minorHAnsi"/>
                <w:sz w:val="22"/>
                <w:szCs w:val="22"/>
              </w:rPr>
            </w:pPr>
          </w:p>
        </w:tc>
        <w:tc>
          <w:tcPr>
            <w:tcW w:w="3780" w:type="dxa"/>
            <w:tcBorders>
              <w:top w:val="single" w:sz="4" w:space="0" w:color="FF0000"/>
              <w:left w:val="single" w:sz="4" w:space="0" w:color="FF0000"/>
              <w:bottom w:val="single" w:sz="4" w:space="0" w:color="FF0000"/>
              <w:right w:val="single" w:sz="4" w:space="0" w:color="FF0000"/>
            </w:tcBorders>
            <w:shd w:val="clear" w:color="auto" w:fill="F0EBD3"/>
          </w:tcPr>
          <w:p w14:paraId="4AD8269B" w14:textId="77777777" w:rsidR="00500EEB" w:rsidRPr="002D503B" w:rsidRDefault="00500EEB" w:rsidP="00335D64">
            <w:pPr>
              <w:pStyle w:val="AGENDA-body"/>
              <w:tabs>
                <w:tab w:val="clear" w:pos="5735"/>
                <w:tab w:val="clear" w:pos="7906"/>
                <w:tab w:val="clear" w:pos="10080"/>
              </w:tabs>
              <w:rPr>
                <w:rFonts w:asciiTheme="minorHAnsi" w:hAnsiTheme="minorHAnsi" w:cstheme="minorHAnsi"/>
                <w:spacing w:val="-7"/>
                <w:sz w:val="22"/>
                <w:szCs w:val="22"/>
              </w:rPr>
            </w:pPr>
            <w:r w:rsidRPr="002D503B">
              <w:rPr>
                <w:rFonts w:asciiTheme="minorHAnsi" w:hAnsiTheme="minorHAnsi" w:cstheme="minorHAnsi"/>
                <w:spacing w:val="-7"/>
                <w:sz w:val="22"/>
                <w:szCs w:val="22"/>
              </w:rPr>
              <w:t>Create order entry alerts to warn against the concomitant use of Entresto and ACE inhibitors. Conduct a thorough medication reconciliation at discharge to ensure that patients who are prescribed Entresto do not restart an ACE inhibitor upon discharge.</w:t>
            </w:r>
          </w:p>
        </w:tc>
        <w:tc>
          <w:tcPr>
            <w:tcW w:w="2700" w:type="dxa"/>
            <w:tcBorders>
              <w:top w:val="single" w:sz="4" w:space="0" w:color="FF0000"/>
              <w:left w:val="single" w:sz="4" w:space="0" w:color="FF0000"/>
              <w:bottom w:val="single" w:sz="4" w:space="0" w:color="FF0000"/>
              <w:right w:val="single" w:sz="4" w:space="0" w:color="FF0000"/>
            </w:tcBorders>
          </w:tcPr>
          <w:p w14:paraId="614DF182" w14:textId="77777777" w:rsidR="00500EEB" w:rsidRPr="00C02132" w:rsidRDefault="00500EEB" w:rsidP="008C5601">
            <w:pPr>
              <w:pStyle w:val="AC-table-body"/>
              <w:tabs>
                <w:tab w:val="clear" w:pos="5735"/>
                <w:tab w:val="clear" w:pos="7906"/>
                <w:tab w:val="clear" w:pos="10080"/>
              </w:tabs>
            </w:pPr>
          </w:p>
        </w:tc>
        <w:tc>
          <w:tcPr>
            <w:tcW w:w="2610" w:type="dxa"/>
            <w:tcBorders>
              <w:top w:val="single" w:sz="4" w:space="0" w:color="FF0000"/>
              <w:left w:val="single" w:sz="4" w:space="0" w:color="FF0000"/>
              <w:bottom w:val="single" w:sz="4" w:space="0" w:color="FF0000"/>
              <w:right w:val="single" w:sz="4" w:space="0" w:color="FF0000"/>
            </w:tcBorders>
          </w:tcPr>
          <w:p w14:paraId="0636E2F8" w14:textId="77777777" w:rsidR="00500EEB" w:rsidRPr="00C02132" w:rsidRDefault="00500EEB" w:rsidP="008C5601">
            <w:pPr>
              <w:pStyle w:val="AC-table-body"/>
              <w:tabs>
                <w:tab w:val="clear" w:pos="5735"/>
                <w:tab w:val="clear" w:pos="7906"/>
                <w:tab w:val="clear" w:pos="10080"/>
              </w:tabs>
            </w:pPr>
          </w:p>
        </w:tc>
        <w:tc>
          <w:tcPr>
            <w:tcW w:w="1206" w:type="dxa"/>
            <w:tcBorders>
              <w:top w:val="single" w:sz="4" w:space="0" w:color="FF0000"/>
              <w:left w:val="single" w:sz="4" w:space="0" w:color="FF0000"/>
              <w:bottom w:val="single" w:sz="4" w:space="0" w:color="FF0000"/>
              <w:right w:val="single" w:sz="4" w:space="0" w:color="FF0000"/>
            </w:tcBorders>
          </w:tcPr>
          <w:p w14:paraId="02ADF64D" w14:textId="77777777" w:rsidR="00500EEB" w:rsidRPr="00C02132" w:rsidRDefault="00500EEB" w:rsidP="008C5601">
            <w:pPr>
              <w:pStyle w:val="AC-table-body"/>
              <w:tabs>
                <w:tab w:val="clear" w:pos="5735"/>
                <w:tab w:val="clear" w:pos="7906"/>
                <w:tab w:val="clear" w:pos="10080"/>
              </w:tabs>
            </w:pPr>
          </w:p>
        </w:tc>
      </w:tr>
      <w:tr w:rsidR="00812336" w:rsidRPr="00C02132" w14:paraId="7A41E501" w14:textId="77777777" w:rsidTr="008C5601">
        <w:trPr>
          <w:jc w:val="center"/>
        </w:trPr>
        <w:tc>
          <w:tcPr>
            <w:tcW w:w="14688" w:type="dxa"/>
            <w:gridSpan w:val="6"/>
            <w:tcBorders>
              <w:top w:val="single" w:sz="4" w:space="0" w:color="FF0000"/>
              <w:left w:val="single" w:sz="4" w:space="0" w:color="FF0000"/>
              <w:bottom w:val="single" w:sz="4" w:space="0" w:color="FF0000"/>
              <w:right w:val="single" w:sz="4" w:space="0" w:color="FF0000"/>
            </w:tcBorders>
            <w:shd w:val="clear" w:color="auto" w:fill="EACB8B"/>
          </w:tcPr>
          <w:p w14:paraId="1D73B05F" w14:textId="77777777" w:rsidR="00812336" w:rsidRPr="000A73CF" w:rsidRDefault="00812336" w:rsidP="00335D64">
            <w:pPr>
              <w:pStyle w:val="AGENDA-table-titles"/>
              <w:tabs>
                <w:tab w:val="clear" w:pos="5735"/>
                <w:tab w:val="clear" w:pos="7906"/>
                <w:tab w:val="clear" w:pos="10080"/>
              </w:tabs>
            </w:pPr>
            <w:r w:rsidRPr="000A73CF">
              <w:lastRenderedPageBreak/>
              <w:t>Fatal route of administration recommended in journal</w:t>
            </w:r>
          </w:p>
        </w:tc>
      </w:tr>
      <w:tr w:rsidR="00812336" w:rsidRPr="00C02132" w14:paraId="3D4A81D1" w14:textId="77777777" w:rsidTr="00F22B45">
        <w:trPr>
          <w:jc w:val="center"/>
        </w:trPr>
        <w:tc>
          <w:tcPr>
            <w:tcW w:w="612" w:type="dxa"/>
            <w:tcBorders>
              <w:top w:val="single" w:sz="4" w:space="0" w:color="FF0000"/>
              <w:left w:val="single" w:sz="4" w:space="0" w:color="FF0000"/>
              <w:bottom w:val="single" w:sz="4" w:space="0" w:color="FF0000"/>
              <w:right w:val="single" w:sz="4" w:space="0" w:color="FF0000"/>
            </w:tcBorders>
            <w:shd w:val="clear" w:color="auto" w:fill="F0EBD3"/>
          </w:tcPr>
          <w:p w14:paraId="4CFB55EB" w14:textId="77777777" w:rsidR="00FA2ECF" w:rsidRPr="004847A3" w:rsidRDefault="00812336" w:rsidP="00FA2ECF">
            <w:pPr>
              <w:pStyle w:val="AGENDA-body"/>
            </w:pPr>
            <w:r w:rsidRPr="000A73CF">
              <w:t>(1, 3)</w:t>
            </w:r>
            <w:r w:rsidR="00FA2ECF" w:rsidRPr="004847A3">
              <w:t xml:space="preserve"> </w:t>
            </w:r>
          </w:p>
          <w:p w14:paraId="611BEA44" w14:textId="77777777" w:rsidR="00812336" w:rsidRPr="000A73CF" w:rsidRDefault="00FA2ECF" w:rsidP="00FA2ECF">
            <w:pPr>
              <w:pStyle w:val="AGENDA-body"/>
              <w:tabs>
                <w:tab w:val="clear" w:pos="5735"/>
                <w:tab w:val="clear" w:pos="7906"/>
                <w:tab w:val="clear" w:pos="10080"/>
              </w:tabs>
            </w:pPr>
            <w:r w:rsidRPr="004847A3">
              <w:rPr>
                <w:noProof/>
                <w:lang w:bidi="ar-SA"/>
              </w:rPr>
              <w:drawing>
                <wp:inline distT="0" distB="0" distL="0" distR="0" wp14:anchorId="1E817339" wp14:editId="672E1690">
                  <wp:extent cx="152387" cy="121910"/>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da safety icon-alert.png"/>
                          <pic:cNvPicPr/>
                        </pic:nvPicPr>
                        <pic:blipFill>
                          <a:blip r:embed="rId10">
                            <a:extLst>
                              <a:ext uri="{28A0092B-C50C-407E-A947-70E740481C1C}">
                                <a14:useLocalDpi xmlns:a14="http://schemas.microsoft.com/office/drawing/2010/main" val="0"/>
                              </a:ext>
                            </a:extLst>
                          </a:blip>
                          <a:stretch>
                            <a:fillRect/>
                          </a:stretch>
                        </pic:blipFill>
                        <pic:spPr>
                          <a:xfrm>
                            <a:off x="0" y="0"/>
                            <a:ext cx="152387" cy="121910"/>
                          </a:xfrm>
                          <a:prstGeom prst="rect">
                            <a:avLst/>
                          </a:prstGeom>
                        </pic:spPr>
                      </pic:pic>
                    </a:graphicData>
                  </a:graphic>
                </wp:inline>
              </w:drawing>
            </w:r>
          </w:p>
        </w:tc>
        <w:tc>
          <w:tcPr>
            <w:tcW w:w="3780" w:type="dxa"/>
            <w:tcBorders>
              <w:top w:val="single" w:sz="4" w:space="0" w:color="FF0000"/>
              <w:left w:val="single" w:sz="4" w:space="0" w:color="FF0000"/>
              <w:bottom w:val="single" w:sz="4" w:space="0" w:color="FF0000"/>
              <w:right w:val="single" w:sz="4" w:space="0" w:color="FF0000"/>
            </w:tcBorders>
            <w:shd w:val="clear" w:color="auto" w:fill="FFF3D6"/>
          </w:tcPr>
          <w:p w14:paraId="06F72100" w14:textId="77777777" w:rsidR="000220DD" w:rsidRPr="002D503B" w:rsidRDefault="00812336" w:rsidP="00335D64">
            <w:pPr>
              <w:pStyle w:val="AGENDA-body"/>
              <w:tabs>
                <w:tab w:val="clear" w:pos="5735"/>
                <w:tab w:val="clear" w:pos="7906"/>
                <w:tab w:val="clear" w:pos="10080"/>
              </w:tabs>
              <w:rPr>
                <w:rFonts w:asciiTheme="minorHAnsi" w:hAnsiTheme="minorHAnsi" w:cstheme="minorHAnsi"/>
                <w:spacing w:val="-7"/>
                <w:sz w:val="22"/>
                <w:szCs w:val="22"/>
              </w:rPr>
            </w:pPr>
            <w:r w:rsidRPr="002D503B">
              <w:rPr>
                <w:rFonts w:asciiTheme="minorHAnsi" w:hAnsiTheme="minorHAnsi" w:cstheme="minorHAnsi"/>
                <w:spacing w:val="-7"/>
                <w:sz w:val="22"/>
                <w:szCs w:val="22"/>
              </w:rPr>
              <w:t>Intrathecal vin</w:t>
            </w:r>
            <w:r w:rsidRPr="002D503B">
              <w:rPr>
                <w:rFonts w:asciiTheme="minorHAnsi" w:hAnsiTheme="minorHAnsi" w:cstheme="minorHAnsi"/>
                <w:b/>
                <w:spacing w:val="-7"/>
                <w:sz w:val="22"/>
                <w:szCs w:val="22"/>
              </w:rPr>
              <w:t>CRIS</w:t>
            </w:r>
            <w:r w:rsidRPr="002D503B">
              <w:rPr>
                <w:rFonts w:asciiTheme="minorHAnsi" w:hAnsiTheme="minorHAnsi" w:cstheme="minorHAnsi"/>
                <w:spacing w:val="-7"/>
                <w:sz w:val="22"/>
                <w:szCs w:val="22"/>
              </w:rPr>
              <w:t xml:space="preserve">tine was listed as a possible treatment option for leptomen-ingeal multiple myeloma in an article published by </w:t>
            </w:r>
            <w:r w:rsidRPr="002D503B">
              <w:rPr>
                <w:rFonts w:asciiTheme="minorHAnsi" w:hAnsiTheme="minorHAnsi" w:cstheme="minorHAnsi"/>
                <w:i/>
                <w:spacing w:val="-7"/>
                <w:sz w:val="22"/>
                <w:szCs w:val="22"/>
              </w:rPr>
              <w:t xml:space="preserve">Hematological Oncology. </w:t>
            </w:r>
            <w:r w:rsidRPr="002D503B">
              <w:rPr>
                <w:rFonts w:asciiTheme="minorHAnsi" w:hAnsiTheme="minorHAnsi" w:cstheme="minorHAnsi"/>
                <w:spacing w:val="-7"/>
                <w:sz w:val="22"/>
                <w:szCs w:val="22"/>
              </w:rPr>
              <w:t>A similar error listing the intrathecal route with vin</w:t>
            </w:r>
            <w:r w:rsidRPr="002D503B">
              <w:rPr>
                <w:rFonts w:asciiTheme="minorHAnsi" w:hAnsiTheme="minorHAnsi" w:cstheme="minorHAnsi"/>
                <w:b/>
                <w:spacing w:val="-7"/>
                <w:sz w:val="22"/>
                <w:szCs w:val="22"/>
              </w:rPr>
              <w:t>CRIS</w:t>
            </w:r>
            <w:r w:rsidRPr="002D503B">
              <w:rPr>
                <w:rFonts w:asciiTheme="minorHAnsi" w:hAnsiTheme="minorHAnsi" w:cstheme="minorHAnsi"/>
                <w:spacing w:val="-7"/>
                <w:sz w:val="22"/>
                <w:szCs w:val="22"/>
              </w:rPr>
              <w:t xml:space="preserve">tine occurred in a 2017 article in the </w:t>
            </w:r>
            <w:r w:rsidRPr="002D503B">
              <w:rPr>
                <w:rFonts w:asciiTheme="minorHAnsi" w:hAnsiTheme="minorHAnsi" w:cstheme="minorHAnsi"/>
                <w:i/>
                <w:spacing w:val="-7"/>
                <w:sz w:val="22"/>
                <w:szCs w:val="22"/>
              </w:rPr>
              <w:t>Journal of Applied Hematology</w:t>
            </w:r>
            <w:r w:rsidRPr="002D503B">
              <w:rPr>
                <w:rFonts w:asciiTheme="minorHAnsi" w:hAnsiTheme="minorHAnsi" w:cstheme="minorHAnsi"/>
                <w:spacing w:val="-7"/>
                <w:sz w:val="22"/>
                <w:szCs w:val="22"/>
              </w:rPr>
              <w:t>. Giving vin</w:t>
            </w:r>
            <w:r w:rsidRPr="002D503B">
              <w:rPr>
                <w:rFonts w:asciiTheme="minorHAnsi" w:hAnsiTheme="minorHAnsi" w:cstheme="minorHAnsi"/>
                <w:b/>
                <w:spacing w:val="-7"/>
                <w:sz w:val="22"/>
                <w:szCs w:val="22"/>
              </w:rPr>
              <w:t>CRIS</w:t>
            </w:r>
            <w:r w:rsidRPr="002D503B">
              <w:rPr>
                <w:rFonts w:asciiTheme="minorHAnsi" w:hAnsiTheme="minorHAnsi" w:cstheme="minorHAnsi"/>
                <w:spacing w:val="-7"/>
                <w:sz w:val="22"/>
                <w:szCs w:val="22"/>
              </w:rPr>
              <w:t>tine via the intrathecal route is fatal.</w:t>
            </w:r>
          </w:p>
          <w:p w14:paraId="51B9BEDC" w14:textId="77777777" w:rsidR="000220DD" w:rsidRPr="002D503B" w:rsidRDefault="000220DD" w:rsidP="00335D64">
            <w:pPr>
              <w:pStyle w:val="AGENDA-body"/>
              <w:tabs>
                <w:tab w:val="clear" w:pos="5735"/>
                <w:tab w:val="clear" w:pos="7906"/>
                <w:tab w:val="clear" w:pos="10080"/>
              </w:tabs>
              <w:rPr>
                <w:rFonts w:asciiTheme="minorHAnsi" w:hAnsiTheme="minorHAnsi" w:cstheme="minorHAnsi"/>
                <w:spacing w:val="-7"/>
                <w:sz w:val="22"/>
                <w:szCs w:val="22"/>
              </w:rPr>
            </w:pPr>
          </w:p>
          <w:p w14:paraId="5DDBF129" w14:textId="77777777" w:rsidR="000220DD" w:rsidRPr="002D503B" w:rsidRDefault="000220DD" w:rsidP="00335D64">
            <w:pPr>
              <w:pStyle w:val="AGENDA-body"/>
              <w:tabs>
                <w:tab w:val="clear" w:pos="5735"/>
                <w:tab w:val="clear" w:pos="7906"/>
                <w:tab w:val="clear" w:pos="10080"/>
              </w:tabs>
              <w:rPr>
                <w:rFonts w:asciiTheme="minorHAnsi" w:hAnsiTheme="minorHAnsi" w:cstheme="minorHAnsi"/>
                <w:spacing w:val="-7"/>
                <w:sz w:val="22"/>
                <w:szCs w:val="22"/>
              </w:rPr>
            </w:pPr>
          </w:p>
        </w:tc>
        <w:tc>
          <w:tcPr>
            <w:tcW w:w="3780" w:type="dxa"/>
            <w:tcBorders>
              <w:top w:val="single" w:sz="4" w:space="0" w:color="FF0000"/>
              <w:left w:val="single" w:sz="4" w:space="0" w:color="FF0000"/>
              <w:bottom w:val="single" w:sz="4" w:space="0" w:color="FF0000"/>
              <w:right w:val="single" w:sz="4" w:space="0" w:color="FF0000"/>
            </w:tcBorders>
            <w:shd w:val="clear" w:color="auto" w:fill="F0EBD3"/>
          </w:tcPr>
          <w:p w14:paraId="59BF99AB" w14:textId="77777777" w:rsidR="00812336" w:rsidRPr="002D503B" w:rsidRDefault="00812336" w:rsidP="00335D64">
            <w:pPr>
              <w:pStyle w:val="AGENDA-body"/>
              <w:tabs>
                <w:tab w:val="clear" w:pos="5735"/>
                <w:tab w:val="clear" w:pos="7906"/>
                <w:tab w:val="clear" w:pos="10080"/>
              </w:tabs>
              <w:rPr>
                <w:rFonts w:asciiTheme="minorHAnsi" w:hAnsiTheme="minorHAnsi" w:cstheme="minorHAnsi"/>
                <w:spacing w:val="-7"/>
                <w:sz w:val="22"/>
                <w:szCs w:val="22"/>
              </w:rPr>
            </w:pPr>
            <w:r w:rsidRPr="002D503B">
              <w:rPr>
                <w:rFonts w:asciiTheme="minorHAnsi" w:hAnsiTheme="minorHAnsi" w:cstheme="minorHAnsi"/>
                <w:spacing w:val="-7"/>
                <w:sz w:val="22"/>
                <w:szCs w:val="22"/>
              </w:rPr>
              <w:t>Mistakes can be made even in respected peer-reviewed publications, so don’t immediately accept everything you read. To keep abreast of any articles with serious errors that are retracted by journals after publication, subscribe to Retraction Watch’s blog (</w:t>
            </w:r>
            <w:r w:rsidRPr="002D503B">
              <w:rPr>
                <w:rFonts w:asciiTheme="minorHAnsi" w:hAnsiTheme="minorHAnsi" w:cstheme="minorHAnsi"/>
                <w:color w:val="0000FF"/>
                <w:spacing w:val="-7"/>
                <w:sz w:val="22"/>
                <w:szCs w:val="22"/>
                <w:u w:val="single"/>
              </w:rPr>
              <w:t>www.retractionwatch.com</w:t>
            </w:r>
            <w:r w:rsidRPr="002D503B">
              <w:rPr>
                <w:rFonts w:asciiTheme="minorHAnsi" w:hAnsiTheme="minorHAnsi" w:cstheme="minorHAnsi"/>
                <w:spacing w:val="-7"/>
                <w:sz w:val="22"/>
                <w:szCs w:val="22"/>
              </w:rPr>
              <w:t xml:space="preserve">).  </w:t>
            </w:r>
          </w:p>
        </w:tc>
        <w:tc>
          <w:tcPr>
            <w:tcW w:w="2700" w:type="dxa"/>
            <w:tcBorders>
              <w:top w:val="single" w:sz="4" w:space="0" w:color="FF0000"/>
              <w:left w:val="single" w:sz="4" w:space="0" w:color="FF0000"/>
              <w:bottom w:val="single" w:sz="4" w:space="0" w:color="FF0000"/>
              <w:right w:val="single" w:sz="4" w:space="0" w:color="FF0000"/>
            </w:tcBorders>
          </w:tcPr>
          <w:p w14:paraId="267724EA" w14:textId="77777777" w:rsidR="00812336" w:rsidRPr="00C02132" w:rsidRDefault="00812336" w:rsidP="008C5601">
            <w:pPr>
              <w:pStyle w:val="AC-table-body"/>
              <w:tabs>
                <w:tab w:val="clear" w:pos="5735"/>
                <w:tab w:val="clear" w:pos="7906"/>
                <w:tab w:val="clear" w:pos="10080"/>
              </w:tabs>
            </w:pPr>
          </w:p>
        </w:tc>
        <w:tc>
          <w:tcPr>
            <w:tcW w:w="2610" w:type="dxa"/>
            <w:tcBorders>
              <w:top w:val="single" w:sz="4" w:space="0" w:color="FF0000"/>
              <w:left w:val="single" w:sz="4" w:space="0" w:color="FF0000"/>
              <w:bottom w:val="single" w:sz="4" w:space="0" w:color="FF0000"/>
              <w:right w:val="single" w:sz="4" w:space="0" w:color="FF0000"/>
            </w:tcBorders>
          </w:tcPr>
          <w:p w14:paraId="43CFFF26" w14:textId="77777777" w:rsidR="00812336" w:rsidRPr="00C02132" w:rsidRDefault="00812336" w:rsidP="008C5601">
            <w:pPr>
              <w:pStyle w:val="AC-table-body"/>
              <w:tabs>
                <w:tab w:val="clear" w:pos="5735"/>
                <w:tab w:val="clear" w:pos="7906"/>
                <w:tab w:val="clear" w:pos="10080"/>
              </w:tabs>
            </w:pPr>
          </w:p>
        </w:tc>
        <w:tc>
          <w:tcPr>
            <w:tcW w:w="1206" w:type="dxa"/>
            <w:tcBorders>
              <w:top w:val="single" w:sz="4" w:space="0" w:color="FF0000"/>
              <w:left w:val="single" w:sz="4" w:space="0" w:color="FF0000"/>
              <w:bottom w:val="single" w:sz="4" w:space="0" w:color="FF0000"/>
              <w:right w:val="single" w:sz="4" w:space="0" w:color="FF0000"/>
            </w:tcBorders>
          </w:tcPr>
          <w:p w14:paraId="1D7C1BFD" w14:textId="77777777" w:rsidR="00812336" w:rsidRPr="00C02132" w:rsidRDefault="00812336" w:rsidP="008C5601">
            <w:pPr>
              <w:pStyle w:val="AC-table-body"/>
              <w:tabs>
                <w:tab w:val="clear" w:pos="5735"/>
                <w:tab w:val="clear" w:pos="7906"/>
                <w:tab w:val="clear" w:pos="10080"/>
              </w:tabs>
            </w:pPr>
          </w:p>
        </w:tc>
      </w:tr>
      <w:tr w:rsidR="004E67A3" w:rsidRPr="00C02132" w14:paraId="66D00A55" w14:textId="77777777" w:rsidTr="008C5601">
        <w:trPr>
          <w:jc w:val="center"/>
        </w:trPr>
        <w:tc>
          <w:tcPr>
            <w:tcW w:w="14688" w:type="dxa"/>
            <w:gridSpan w:val="6"/>
            <w:tcBorders>
              <w:top w:val="single" w:sz="4" w:space="0" w:color="FF0000"/>
              <w:left w:val="single" w:sz="4" w:space="0" w:color="FF0000"/>
              <w:bottom w:val="single" w:sz="4" w:space="0" w:color="FF0000"/>
              <w:right w:val="single" w:sz="4" w:space="0" w:color="FF0000"/>
            </w:tcBorders>
            <w:shd w:val="clear" w:color="auto" w:fill="EACB8B"/>
          </w:tcPr>
          <w:p w14:paraId="6E62FEA6" w14:textId="77777777" w:rsidR="004E67A3" w:rsidRPr="000A73CF" w:rsidRDefault="004E67A3" w:rsidP="00335D64">
            <w:pPr>
              <w:pStyle w:val="AGENDA-table-titles"/>
              <w:tabs>
                <w:tab w:val="clear" w:pos="5735"/>
                <w:tab w:val="clear" w:pos="7906"/>
                <w:tab w:val="clear" w:pos="10080"/>
              </w:tabs>
            </w:pPr>
            <w:r w:rsidRPr="000A73CF">
              <w:t xml:space="preserve">Educate fluorouracil home infusion patients about accidental overinfusion </w:t>
            </w:r>
          </w:p>
        </w:tc>
      </w:tr>
      <w:tr w:rsidR="004E67A3" w:rsidRPr="00C02132" w14:paraId="237A240F" w14:textId="77777777" w:rsidTr="00F22B45">
        <w:trPr>
          <w:jc w:val="center"/>
        </w:trPr>
        <w:tc>
          <w:tcPr>
            <w:tcW w:w="612" w:type="dxa"/>
            <w:tcBorders>
              <w:top w:val="single" w:sz="4" w:space="0" w:color="FF0000"/>
              <w:left w:val="single" w:sz="4" w:space="0" w:color="FF0000"/>
              <w:bottom w:val="single" w:sz="4" w:space="0" w:color="FF0000"/>
              <w:right w:val="single" w:sz="4" w:space="0" w:color="FF0000"/>
            </w:tcBorders>
            <w:shd w:val="clear" w:color="auto" w:fill="F0EBD3"/>
          </w:tcPr>
          <w:p w14:paraId="56294B99" w14:textId="77777777" w:rsidR="00FA2ECF" w:rsidRPr="004847A3" w:rsidRDefault="004E67A3" w:rsidP="00FA2ECF">
            <w:pPr>
              <w:pStyle w:val="AGENDA-body"/>
            </w:pPr>
            <w:r w:rsidRPr="000A73CF">
              <w:t>(1)</w:t>
            </w:r>
            <w:r w:rsidR="00FA2ECF" w:rsidRPr="004847A3">
              <w:t xml:space="preserve"> </w:t>
            </w:r>
          </w:p>
          <w:p w14:paraId="09461BEE" w14:textId="77777777" w:rsidR="004E67A3" w:rsidRPr="000A73CF" w:rsidRDefault="00FA2ECF" w:rsidP="00FA2ECF">
            <w:pPr>
              <w:pStyle w:val="AGENDA-body"/>
              <w:tabs>
                <w:tab w:val="clear" w:pos="5735"/>
                <w:tab w:val="clear" w:pos="7906"/>
                <w:tab w:val="clear" w:pos="10080"/>
              </w:tabs>
            </w:pPr>
            <w:r w:rsidRPr="004847A3">
              <w:rPr>
                <w:noProof/>
                <w:lang w:bidi="ar-SA"/>
              </w:rPr>
              <w:drawing>
                <wp:inline distT="0" distB="0" distL="0" distR="0" wp14:anchorId="6E248FBD" wp14:editId="0BAB486A">
                  <wp:extent cx="152387" cy="12191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da safety icon-alert.png"/>
                          <pic:cNvPicPr/>
                        </pic:nvPicPr>
                        <pic:blipFill>
                          <a:blip r:embed="rId10">
                            <a:extLst>
                              <a:ext uri="{28A0092B-C50C-407E-A947-70E740481C1C}">
                                <a14:useLocalDpi xmlns:a14="http://schemas.microsoft.com/office/drawing/2010/main" val="0"/>
                              </a:ext>
                            </a:extLst>
                          </a:blip>
                          <a:stretch>
                            <a:fillRect/>
                          </a:stretch>
                        </pic:blipFill>
                        <pic:spPr>
                          <a:xfrm>
                            <a:off x="0" y="0"/>
                            <a:ext cx="152387" cy="121910"/>
                          </a:xfrm>
                          <a:prstGeom prst="rect">
                            <a:avLst/>
                          </a:prstGeom>
                        </pic:spPr>
                      </pic:pic>
                    </a:graphicData>
                  </a:graphic>
                </wp:inline>
              </w:drawing>
            </w:r>
          </w:p>
        </w:tc>
        <w:tc>
          <w:tcPr>
            <w:tcW w:w="3780" w:type="dxa"/>
            <w:tcBorders>
              <w:top w:val="single" w:sz="4" w:space="0" w:color="FF0000"/>
              <w:left w:val="single" w:sz="4" w:space="0" w:color="FF0000"/>
              <w:bottom w:val="single" w:sz="4" w:space="0" w:color="FF0000"/>
              <w:right w:val="single" w:sz="4" w:space="0" w:color="FF0000"/>
            </w:tcBorders>
            <w:shd w:val="clear" w:color="auto" w:fill="FFF3D6"/>
          </w:tcPr>
          <w:p w14:paraId="61AA29CA" w14:textId="77777777" w:rsidR="000220DD" w:rsidRDefault="004E67A3" w:rsidP="00335D64">
            <w:pPr>
              <w:pStyle w:val="AGENDA-body"/>
              <w:tabs>
                <w:tab w:val="clear" w:pos="5735"/>
                <w:tab w:val="clear" w:pos="7906"/>
                <w:tab w:val="clear" w:pos="10080"/>
              </w:tabs>
              <w:rPr>
                <w:rFonts w:asciiTheme="minorHAnsi" w:hAnsiTheme="minorHAnsi" w:cstheme="minorHAnsi"/>
                <w:spacing w:val="-7"/>
                <w:sz w:val="22"/>
                <w:szCs w:val="22"/>
              </w:rPr>
            </w:pPr>
            <w:r w:rsidRPr="008F44C7">
              <w:rPr>
                <w:rFonts w:asciiTheme="minorHAnsi" w:hAnsiTheme="minorHAnsi" w:cstheme="minorHAnsi"/>
                <w:spacing w:val="-7"/>
                <w:sz w:val="22"/>
                <w:szCs w:val="22"/>
              </w:rPr>
              <w:t>A physician prescribed a 7-day continuous infusion of fluorouracil for a patient at home via an elastomeric infusion pump. The patient received the entire infusion in just 4 days but waited until his scheduled doctor’s appointment 4 days later to report the mishap. The patient experienced serious sequalae and was admitted to the hospital for 7 days.</w:t>
            </w:r>
          </w:p>
          <w:p w14:paraId="58120A4A" w14:textId="77777777" w:rsidR="008F44C7" w:rsidRPr="008F44C7" w:rsidRDefault="008F44C7" w:rsidP="00335D64">
            <w:pPr>
              <w:pStyle w:val="AGENDA-body"/>
              <w:tabs>
                <w:tab w:val="clear" w:pos="5735"/>
                <w:tab w:val="clear" w:pos="7906"/>
                <w:tab w:val="clear" w:pos="10080"/>
              </w:tabs>
              <w:rPr>
                <w:rFonts w:asciiTheme="minorHAnsi" w:hAnsiTheme="minorHAnsi" w:cstheme="minorHAnsi"/>
                <w:spacing w:val="-7"/>
                <w:sz w:val="22"/>
                <w:szCs w:val="22"/>
              </w:rPr>
            </w:pPr>
            <w:bookmarkStart w:id="18" w:name="_GoBack"/>
            <w:bookmarkEnd w:id="18"/>
          </w:p>
          <w:p w14:paraId="4721A5E7" w14:textId="77777777" w:rsidR="000220DD" w:rsidRPr="008F44C7" w:rsidRDefault="000220DD" w:rsidP="00335D64">
            <w:pPr>
              <w:pStyle w:val="AGENDA-body"/>
              <w:tabs>
                <w:tab w:val="clear" w:pos="5735"/>
                <w:tab w:val="clear" w:pos="7906"/>
                <w:tab w:val="clear" w:pos="10080"/>
              </w:tabs>
              <w:rPr>
                <w:rFonts w:asciiTheme="minorHAnsi" w:hAnsiTheme="minorHAnsi" w:cstheme="minorHAnsi"/>
                <w:spacing w:val="-7"/>
                <w:sz w:val="22"/>
                <w:szCs w:val="22"/>
              </w:rPr>
            </w:pPr>
          </w:p>
        </w:tc>
        <w:tc>
          <w:tcPr>
            <w:tcW w:w="3780" w:type="dxa"/>
            <w:tcBorders>
              <w:top w:val="single" w:sz="4" w:space="0" w:color="FF0000"/>
              <w:left w:val="single" w:sz="4" w:space="0" w:color="FF0000"/>
              <w:bottom w:val="single" w:sz="4" w:space="0" w:color="FF0000"/>
              <w:right w:val="single" w:sz="4" w:space="0" w:color="FF0000"/>
            </w:tcBorders>
            <w:shd w:val="clear" w:color="auto" w:fill="F0EBD3"/>
          </w:tcPr>
          <w:p w14:paraId="70E673C5" w14:textId="77777777" w:rsidR="004E67A3" w:rsidRPr="008F44C7" w:rsidRDefault="004E67A3" w:rsidP="00335D64">
            <w:pPr>
              <w:pStyle w:val="AGENDA-body"/>
              <w:tabs>
                <w:tab w:val="clear" w:pos="5735"/>
                <w:tab w:val="clear" w:pos="7906"/>
                <w:tab w:val="clear" w:pos="10080"/>
              </w:tabs>
              <w:rPr>
                <w:rFonts w:asciiTheme="minorHAnsi" w:hAnsiTheme="minorHAnsi" w:cstheme="minorHAnsi"/>
                <w:spacing w:val="-7"/>
                <w:sz w:val="22"/>
                <w:szCs w:val="22"/>
              </w:rPr>
            </w:pPr>
            <w:r w:rsidRPr="008F44C7">
              <w:rPr>
                <w:rFonts w:asciiTheme="minorHAnsi" w:hAnsiTheme="minorHAnsi" w:cstheme="minorHAnsi"/>
                <w:spacing w:val="-7"/>
                <w:sz w:val="22"/>
                <w:szCs w:val="22"/>
              </w:rPr>
              <w:t>Educate patients with ambulatory infusion pumps about how the pump works, what to expect during treatment, the infusion rate, how long the infusion should last, how much should be left in the container each day, and to immediately report any incident to their care team should the container empty sooner than anticipated so an antidote can be administered.</w:t>
            </w:r>
          </w:p>
          <w:p w14:paraId="53F43923" w14:textId="77777777" w:rsidR="000220DD" w:rsidRPr="008F44C7" w:rsidRDefault="000220DD" w:rsidP="00335D64">
            <w:pPr>
              <w:pStyle w:val="AGENDA-body"/>
              <w:tabs>
                <w:tab w:val="clear" w:pos="5735"/>
                <w:tab w:val="clear" w:pos="7906"/>
                <w:tab w:val="clear" w:pos="10080"/>
              </w:tabs>
              <w:rPr>
                <w:rFonts w:asciiTheme="minorHAnsi" w:hAnsiTheme="minorHAnsi" w:cstheme="minorHAnsi"/>
                <w:spacing w:val="-7"/>
                <w:sz w:val="22"/>
                <w:szCs w:val="22"/>
              </w:rPr>
            </w:pPr>
          </w:p>
        </w:tc>
        <w:tc>
          <w:tcPr>
            <w:tcW w:w="2700" w:type="dxa"/>
            <w:tcBorders>
              <w:top w:val="single" w:sz="4" w:space="0" w:color="FF0000"/>
              <w:left w:val="single" w:sz="4" w:space="0" w:color="FF0000"/>
              <w:bottom w:val="single" w:sz="4" w:space="0" w:color="FF0000"/>
              <w:right w:val="single" w:sz="4" w:space="0" w:color="FF0000"/>
            </w:tcBorders>
          </w:tcPr>
          <w:p w14:paraId="5B40D532" w14:textId="77777777" w:rsidR="004E67A3" w:rsidRPr="00C02132" w:rsidRDefault="004E67A3" w:rsidP="008C5601">
            <w:pPr>
              <w:pStyle w:val="AC-table-body"/>
              <w:tabs>
                <w:tab w:val="clear" w:pos="5735"/>
                <w:tab w:val="clear" w:pos="7906"/>
                <w:tab w:val="clear" w:pos="10080"/>
              </w:tabs>
            </w:pPr>
          </w:p>
        </w:tc>
        <w:tc>
          <w:tcPr>
            <w:tcW w:w="2610" w:type="dxa"/>
            <w:tcBorders>
              <w:top w:val="single" w:sz="4" w:space="0" w:color="FF0000"/>
              <w:left w:val="single" w:sz="4" w:space="0" w:color="FF0000"/>
              <w:bottom w:val="single" w:sz="4" w:space="0" w:color="FF0000"/>
              <w:right w:val="single" w:sz="4" w:space="0" w:color="FF0000"/>
            </w:tcBorders>
          </w:tcPr>
          <w:p w14:paraId="613FC511" w14:textId="77777777" w:rsidR="004E67A3" w:rsidRPr="00C02132" w:rsidRDefault="004E67A3" w:rsidP="008C5601">
            <w:pPr>
              <w:pStyle w:val="AC-table-body"/>
              <w:tabs>
                <w:tab w:val="clear" w:pos="5735"/>
                <w:tab w:val="clear" w:pos="7906"/>
                <w:tab w:val="clear" w:pos="10080"/>
              </w:tabs>
            </w:pPr>
          </w:p>
        </w:tc>
        <w:tc>
          <w:tcPr>
            <w:tcW w:w="1206" w:type="dxa"/>
            <w:tcBorders>
              <w:top w:val="single" w:sz="4" w:space="0" w:color="FF0000"/>
              <w:left w:val="single" w:sz="4" w:space="0" w:color="FF0000"/>
              <w:bottom w:val="single" w:sz="4" w:space="0" w:color="FF0000"/>
              <w:right w:val="single" w:sz="4" w:space="0" w:color="FF0000"/>
            </w:tcBorders>
          </w:tcPr>
          <w:p w14:paraId="6677F836" w14:textId="77777777" w:rsidR="004E67A3" w:rsidRPr="00C02132" w:rsidRDefault="004E67A3" w:rsidP="008C5601">
            <w:pPr>
              <w:pStyle w:val="AC-table-body"/>
              <w:tabs>
                <w:tab w:val="clear" w:pos="5735"/>
                <w:tab w:val="clear" w:pos="7906"/>
                <w:tab w:val="clear" w:pos="10080"/>
              </w:tabs>
            </w:pPr>
          </w:p>
        </w:tc>
      </w:tr>
      <w:tr w:rsidR="00D22440" w:rsidRPr="00C02132" w14:paraId="0C9131ED" w14:textId="77777777" w:rsidTr="008C5601">
        <w:trPr>
          <w:jc w:val="center"/>
        </w:trPr>
        <w:tc>
          <w:tcPr>
            <w:tcW w:w="14688" w:type="dxa"/>
            <w:gridSpan w:val="6"/>
            <w:tcBorders>
              <w:top w:val="single" w:sz="4" w:space="0" w:color="FF0000"/>
              <w:left w:val="single" w:sz="4" w:space="0" w:color="FF0000"/>
              <w:bottom w:val="single" w:sz="4" w:space="0" w:color="FF0000"/>
              <w:right w:val="single" w:sz="4" w:space="0" w:color="FF0000"/>
            </w:tcBorders>
            <w:shd w:val="clear" w:color="auto" w:fill="EACB8B"/>
          </w:tcPr>
          <w:p w14:paraId="1FC61144" w14:textId="77777777" w:rsidR="00D22440" w:rsidRPr="000A73CF" w:rsidRDefault="00D22440" w:rsidP="00335D64">
            <w:pPr>
              <w:pStyle w:val="AGENDA-table-titles"/>
              <w:tabs>
                <w:tab w:val="clear" w:pos="5735"/>
                <w:tab w:val="clear" w:pos="7906"/>
                <w:tab w:val="clear" w:pos="10080"/>
              </w:tabs>
            </w:pPr>
            <w:r w:rsidRPr="000A73CF">
              <w:t xml:space="preserve">Use EPINEPHrine autoinjectors for anaphylaxis management </w:t>
            </w:r>
          </w:p>
        </w:tc>
      </w:tr>
      <w:tr w:rsidR="00D22440" w:rsidRPr="00C02132" w14:paraId="6068E796" w14:textId="77777777" w:rsidTr="00F22B45">
        <w:trPr>
          <w:jc w:val="center"/>
        </w:trPr>
        <w:tc>
          <w:tcPr>
            <w:tcW w:w="612" w:type="dxa"/>
            <w:tcBorders>
              <w:top w:val="single" w:sz="4" w:space="0" w:color="FF0000"/>
              <w:left w:val="single" w:sz="4" w:space="0" w:color="FF0000"/>
              <w:bottom w:val="single" w:sz="4" w:space="0" w:color="FF0000"/>
              <w:right w:val="single" w:sz="4" w:space="0" w:color="FF0000"/>
            </w:tcBorders>
            <w:shd w:val="clear" w:color="auto" w:fill="F0EBD3"/>
          </w:tcPr>
          <w:p w14:paraId="39350ADE" w14:textId="77777777" w:rsidR="00D22440" w:rsidRPr="000A73CF" w:rsidRDefault="00D22440" w:rsidP="00335D64">
            <w:pPr>
              <w:pStyle w:val="AGENDA-body"/>
              <w:tabs>
                <w:tab w:val="clear" w:pos="5735"/>
                <w:tab w:val="clear" w:pos="7906"/>
                <w:tab w:val="clear" w:pos="10080"/>
              </w:tabs>
            </w:pPr>
            <w:r w:rsidRPr="000A73CF">
              <w:t>(2, 3)</w:t>
            </w:r>
          </w:p>
        </w:tc>
        <w:tc>
          <w:tcPr>
            <w:tcW w:w="3780" w:type="dxa"/>
            <w:tcBorders>
              <w:top w:val="single" w:sz="4" w:space="0" w:color="FF0000"/>
              <w:left w:val="single" w:sz="4" w:space="0" w:color="FF0000"/>
              <w:bottom w:val="single" w:sz="4" w:space="0" w:color="FF0000"/>
              <w:right w:val="single" w:sz="4" w:space="0" w:color="FF0000"/>
            </w:tcBorders>
            <w:shd w:val="clear" w:color="auto" w:fill="FFF3D6"/>
          </w:tcPr>
          <w:p w14:paraId="42EEC236" w14:textId="77777777" w:rsidR="00D22440" w:rsidRPr="008F44C7" w:rsidRDefault="00D22440" w:rsidP="00335D64">
            <w:pPr>
              <w:pStyle w:val="AGENDA-body"/>
              <w:tabs>
                <w:tab w:val="clear" w:pos="5735"/>
                <w:tab w:val="clear" w:pos="7906"/>
                <w:tab w:val="clear" w:pos="10080"/>
              </w:tabs>
              <w:rPr>
                <w:rFonts w:asciiTheme="minorHAnsi" w:hAnsiTheme="minorHAnsi" w:cstheme="minorHAnsi"/>
                <w:sz w:val="22"/>
                <w:szCs w:val="22"/>
              </w:rPr>
            </w:pPr>
            <w:r w:rsidRPr="008F44C7">
              <w:rPr>
                <w:rFonts w:asciiTheme="minorHAnsi" w:hAnsiTheme="minorHAnsi" w:cstheme="minorHAnsi"/>
                <w:sz w:val="22"/>
                <w:szCs w:val="22"/>
              </w:rPr>
              <w:t xml:space="preserve">An emergency department physician ordered </w:t>
            </w:r>
            <w:r w:rsidRPr="008F44C7">
              <w:rPr>
                <w:rFonts w:asciiTheme="minorHAnsi" w:hAnsiTheme="minorHAnsi" w:cstheme="minorHAnsi"/>
                <w:b/>
                <w:sz w:val="22"/>
                <w:szCs w:val="22"/>
              </w:rPr>
              <w:t>EPINEPH</w:t>
            </w:r>
            <w:r w:rsidRPr="008F44C7">
              <w:rPr>
                <w:rFonts w:asciiTheme="minorHAnsi" w:hAnsiTheme="minorHAnsi" w:cstheme="minorHAnsi"/>
                <w:sz w:val="22"/>
                <w:szCs w:val="22"/>
              </w:rPr>
              <w:t xml:space="preserve">rine 1 mg intramuscularly (IM) for a patient with anaphylaxis, which exceeds the usual anaphylaxis dose (0.2-0.5 mg). The dose was prepared and administered using a vial and syringe, leading to hypertension, tachycardia, and agitation. </w:t>
            </w:r>
          </w:p>
          <w:p w14:paraId="5C9D6A1B" w14:textId="77777777" w:rsidR="000220DD" w:rsidRPr="008F44C7" w:rsidRDefault="000220DD" w:rsidP="00335D64">
            <w:pPr>
              <w:pStyle w:val="AGENDA-body"/>
              <w:tabs>
                <w:tab w:val="clear" w:pos="5735"/>
                <w:tab w:val="clear" w:pos="7906"/>
                <w:tab w:val="clear" w:pos="10080"/>
              </w:tabs>
              <w:rPr>
                <w:rFonts w:asciiTheme="minorHAnsi" w:hAnsiTheme="minorHAnsi" w:cstheme="minorHAnsi"/>
                <w:sz w:val="22"/>
                <w:szCs w:val="22"/>
              </w:rPr>
            </w:pPr>
          </w:p>
          <w:p w14:paraId="1DFC7B82" w14:textId="77777777" w:rsidR="000220DD" w:rsidRPr="008F44C7" w:rsidRDefault="000220DD" w:rsidP="00335D64">
            <w:pPr>
              <w:pStyle w:val="AGENDA-body"/>
              <w:tabs>
                <w:tab w:val="clear" w:pos="5735"/>
                <w:tab w:val="clear" w:pos="7906"/>
                <w:tab w:val="clear" w:pos="10080"/>
              </w:tabs>
              <w:rPr>
                <w:rFonts w:asciiTheme="minorHAnsi" w:hAnsiTheme="minorHAnsi" w:cstheme="minorHAnsi"/>
                <w:sz w:val="22"/>
                <w:szCs w:val="22"/>
              </w:rPr>
            </w:pPr>
          </w:p>
        </w:tc>
        <w:tc>
          <w:tcPr>
            <w:tcW w:w="3780" w:type="dxa"/>
            <w:tcBorders>
              <w:top w:val="single" w:sz="4" w:space="0" w:color="FF0000"/>
              <w:left w:val="single" w:sz="4" w:space="0" w:color="FF0000"/>
              <w:bottom w:val="single" w:sz="4" w:space="0" w:color="FF0000"/>
              <w:right w:val="single" w:sz="4" w:space="0" w:color="FF0000"/>
            </w:tcBorders>
            <w:shd w:val="clear" w:color="auto" w:fill="F0EBD3"/>
          </w:tcPr>
          <w:p w14:paraId="7A1ADAB4" w14:textId="77777777" w:rsidR="00D22440" w:rsidRPr="008F44C7" w:rsidRDefault="00D22440" w:rsidP="00335D64">
            <w:pPr>
              <w:pStyle w:val="AGENDA-body"/>
              <w:tabs>
                <w:tab w:val="clear" w:pos="5735"/>
                <w:tab w:val="clear" w:pos="7906"/>
                <w:tab w:val="clear" w:pos="10080"/>
              </w:tabs>
              <w:rPr>
                <w:rFonts w:asciiTheme="minorHAnsi" w:hAnsiTheme="minorHAnsi" w:cstheme="minorHAnsi"/>
                <w:sz w:val="22"/>
                <w:szCs w:val="22"/>
              </w:rPr>
            </w:pPr>
            <w:r w:rsidRPr="008F44C7">
              <w:rPr>
                <w:rFonts w:asciiTheme="minorHAnsi" w:hAnsiTheme="minorHAnsi" w:cstheme="minorHAnsi"/>
                <w:spacing w:val="-7"/>
                <w:sz w:val="22"/>
                <w:szCs w:val="22"/>
              </w:rPr>
              <w:t xml:space="preserve">Reconsider use of </w:t>
            </w:r>
            <w:r w:rsidRPr="008F44C7">
              <w:rPr>
                <w:rFonts w:asciiTheme="minorHAnsi" w:hAnsiTheme="minorHAnsi" w:cstheme="minorHAnsi"/>
                <w:b/>
                <w:spacing w:val="-7"/>
                <w:sz w:val="22"/>
                <w:szCs w:val="22"/>
              </w:rPr>
              <w:t>EPINEPH</w:t>
            </w:r>
            <w:r w:rsidRPr="008F44C7">
              <w:rPr>
                <w:rFonts w:asciiTheme="minorHAnsi" w:hAnsiTheme="minorHAnsi" w:cstheme="minorHAnsi"/>
                <w:spacing w:val="-7"/>
                <w:sz w:val="22"/>
                <w:szCs w:val="22"/>
              </w:rPr>
              <w:t xml:space="preserve">rine auto-injectors to deliver doses for anaphylaxis. They are now available in a generic form at a lower cost. If using vials or ampuls, prepare kits containing a 1 mg vial or ampul along with a syringe, needle, and a label listing the dose and an “IM use only” warning. Contrary to some misguided efforts to reduce the risk of administering the full contents of the 1 mg (1 mL) vial, </w:t>
            </w:r>
            <w:r w:rsidRPr="008F44C7">
              <w:rPr>
                <w:rFonts w:asciiTheme="minorHAnsi" w:hAnsiTheme="minorHAnsi" w:cstheme="minorHAnsi"/>
                <w:b/>
                <w:spacing w:val="-7"/>
                <w:sz w:val="22"/>
                <w:szCs w:val="22"/>
              </w:rPr>
              <w:t xml:space="preserve">DO NOT </w:t>
            </w:r>
            <w:r w:rsidRPr="008F44C7">
              <w:rPr>
                <w:rFonts w:asciiTheme="minorHAnsi" w:hAnsiTheme="minorHAnsi" w:cstheme="minorHAnsi"/>
                <w:spacing w:val="-7"/>
                <w:sz w:val="22"/>
                <w:szCs w:val="22"/>
              </w:rPr>
              <w:t xml:space="preserve">use a 30 or 50 unit capacity insulin syringe in the kits, as these syringes only measure in units, have an attached needle of insufficient length, and may be mistaken as a syringe containing </w:t>
            </w:r>
            <w:r w:rsidRPr="008F44C7">
              <w:rPr>
                <w:rFonts w:asciiTheme="minorHAnsi" w:hAnsiTheme="minorHAnsi" w:cstheme="minorHAnsi"/>
                <w:sz w:val="22"/>
                <w:szCs w:val="22"/>
              </w:rPr>
              <w:t xml:space="preserve">insulin.  </w:t>
            </w:r>
          </w:p>
          <w:p w14:paraId="7345193C" w14:textId="77777777" w:rsidR="000220DD" w:rsidRPr="008F44C7" w:rsidRDefault="000220DD" w:rsidP="00335D64">
            <w:pPr>
              <w:pStyle w:val="AGENDA-body"/>
              <w:tabs>
                <w:tab w:val="clear" w:pos="5735"/>
                <w:tab w:val="clear" w:pos="7906"/>
                <w:tab w:val="clear" w:pos="10080"/>
              </w:tabs>
              <w:rPr>
                <w:rFonts w:asciiTheme="minorHAnsi" w:hAnsiTheme="minorHAnsi" w:cstheme="minorHAnsi"/>
                <w:sz w:val="22"/>
                <w:szCs w:val="22"/>
              </w:rPr>
            </w:pPr>
          </w:p>
          <w:p w14:paraId="3CE5F7BA" w14:textId="77777777" w:rsidR="000220DD" w:rsidRPr="008F44C7" w:rsidRDefault="000220DD" w:rsidP="00335D64">
            <w:pPr>
              <w:pStyle w:val="AGENDA-body"/>
              <w:tabs>
                <w:tab w:val="clear" w:pos="5735"/>
                <w:tab w:val="clear" w:pos="7906"/>
                <w:tab w:val="clear" w:pos="10080"/>
              </w:tabs>
              <w:rPr>
                <w:rFonts w:asciiTheme="minorHAnsi" w:hAnsiTheme="minorHAnsi" w:cstheme="minorHAnsi"/>
                <w:spacing w:val="-7"/>
                <w:sz w:val="22"/>
                <w:szCs w:val="22"/>
              </w:rPr>
            </w:pPr>
          </w:p>
        </w:tc>
        <w:tc>
          <w:tcPr>
            <w:tcW w:w="2700" w:type="dxa"/>
            <w:tcBorders>
              <w:top w:val="single" w:sz="4" w:space="0" w:color="FF0000"/>
              <w:left w:val="single" w:sz="4" w:space="0" w:color="FF0000"/>
              <w:bottom w:val="single" w:sz="4" w:space="0" w:color="FF0000"/>
              <w:right w:val="single" w:sz="4" w:space="0" w:color="FF0000"/>
            </w:tcBorders>
          </w:tcPr>
          <w:p w14:paraId="5D5D67D2" w14:textId="77777777" w:rsidR="00D22440" w:rsidRPr="00C02132" w:rsidRDefault="00D22440" w:rsidP="008C5601">
            <w:pPr>
              <w:pStyle w:val="AC-table-body"/>
              <w:tabs>
                <w:tab w:val="clear" w:pos="5735"/>
                <w:tab w:val="clear" w:pos="7906"/>
                <w:tab w:val="clear" w:pos="10080"/>
              </w:tabs>
            </w:pPr>
          </w:p>
        </w:tc>
        <w:tc>
          <w:tcPr>
            <w:tcW w:w="2610" w:type="dxa"/>
            <w:tcBorders>
              <w:top w:val="single" w:sz="4" w:space="0" w:color="FF0000"/>
              <w:left w:val="single" w:sz="4" w:space="0" w:color="FF0000"/>
              <w:bottom w:val="single" w:sz="4" w:space="0" w:color="FF0000"/>
              <w:right w:val="single" w:sz="4" w:space="0" w:color="FF0000"/>
            </w:tcBorders>
          </w:tcPr>
          <w:p w14:paraId="6364C78B" w14:textId="77777777" w:rsidR="00D22440" w:rsidRPr="00C02132" w:rsidRDefault="00D22440" w:rsidP="008C5601">
            <w:pPr>
              <w:pStyle w:val="AC-table-body"/>
              <w:tabs>
                <w:tab w:val="clear" w:pos="5735"/>
                <w:tab w:val="clear" w:pos="7906"/>
                <w:tab w:val="clear" w:pos="10080"/>
              </w:tabs>
            </w:pPr>
          </w:p>
        </w:tc>
        <w:tc>
          <w:tcPr>
            <w:tcW w:w="1206" w:type="dxa"/>
            <w:tcBorders>
              <w:top w:val="single" w:sz="4" w:space="0" w:color="FF0000"/>
              <w:left w:val="single" w:sz="4" w:space="0" w:color="FF0000"/>
              <w:bottom w:val="single" w:sz="4" w:space="0" w:color="FF0000"/>
              <w:right w:val="single" w:sz="4" w:space="0" w:color="FF0000"/>
            </w:tcBorders>
          </w:tcPr>
          <w:p w14:paraId="2C47FAAF" w14:textId="77777777" w:rsidR="00D22440" w:rsidRPr="00C02132" w:rsidRDefault="00D22440" w:rsidP="008C5601">
            <w:pPr>
              <w:pStyle w:val="AC-table-body"/>
              <w:tabs>
                <w:tab w:val="clear" w:pos="5735"/>
                <w:tab w:val="clear" w:pos="7906"/>
                <w:tab w:val="clear" w:pos="10080"/>
              </w:tabs>
            </w:pPr>
          </w:p>
        </w:tc>
      </w:tr>
    </w:tbl>
    <w:p w14:paraId="3389416E" w14:textId="77777777" w:rsidR="00ED7DDF" w:rsidRPr="000220DD" w:rsidRDefault="00ED7DDF" w:rsidP="000220DD">
      <w:pPr>
        <w:rPr>
          <w:sz w:val="2"/>
          <w:szCs w:val="2"/>
        </w:rPr>
      </w:pPr>
    </w:p>
    <w:sectPr w:rsidR="00ED7DDF" w:rsidRPr="000220DD" w:rsidSect="00930886">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1008" w:right="1008" w:bottom="576" w:left="1008" w:header="432" w:footer="0" w:gutter="0"/>
      <w:cols w:space="720"/>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5951A" w14:textId="77777777" w:rsidR="005B0103" w:rsidRDefault="005B0103">
      <w:r>
        <w:separator/>
      </w:r>
    </w:p>
  </w:endnote>
  <w:endnote w:type="continuationSeparator" w:id="0">
    <w:p w14:paraId="7ABF54FF" w14:textId="77777777" w:rsidR="005B0103" w:rsidRDefault="005B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kzidenz Grotesk BE BoldEx">
    <w:panose1 w:val="00000000000000000000"/>
    <w:charset w:val="00"/>
    <w:family w:val="swiss"/>
    <w:notTrueType/>
    <w:pitch w:val="variable"/>
    <w:sig w:usb0="00000003" w:usb1="00000000" w:usb2="00000000" w:usb3="00000000" w:csb0="00000001" w:csb1="00000000"/>
  </w:font>
  <w:font w:name="Akzidenz Grotesk BE Cn">
    <w:panose1 w:val="00000000000000000000"/>
    <w:charset w:val="00"/>
    <w:family w:val="swiss"/>
    <w:notTrueType/>
    <w:pitch w:val="variable"/>
    <w:sig w:usb0="00000003" w:usb1="00000000" w:usb2="00000000" w:usb3="00000000" w:csb0="00000001" w:csb1="00000000"/>
  </w:font>
  <w:font w:name="Akzidenz Grotesk BE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LT Std 57 Cn">
    <w:panose1 w:val="020B0506020202050204"/>
    <w:charset w:val="00"/>
    <w:family w:val="swiss"/>
    <w:notTrueType/>
    <w:pitch w:val="variable"/>
    <w:sig w:usb0="00000003" w:usb1="00000000" w:usb2="00000000" w:usb3="00000000" w:csb0="00000001" w:csb1="00000000"/>
  </w:font>
  <w:font w:name="Univers LT Std 55">
    <w:panose1 w:val="020B0603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Univers LT Std 45 Light">
    <w:panose1 w:val="020B0403020202020204"/>
    <w:charset w:val="00"/>
    <w:family w:val="swiss"/>
    <w:notTrueType/>
    <w:pitch w:val="variable"/>
    <w:sig w:usb0="00000003" w:usb1="00000000" w:usb2="00000000" w:usb3="00000000" w:csb0="00000001" w:csb1="00000000"/>
  </w:font>
  <w:font w:name="Univers LT Std 47 Cn Lt">
    <w:panose1 w:val="020B0406020202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53C9E" w14:textId="77777777" w:rsidR="00CB37F5" w:rsidRDefault="00CB37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EB754" w14:textId="77777777" w:rsidR="00FD43EE" w:rsidRDefault="00FD43EE"/>
  <w:tbl>
    <w:tblPr>
      <w:tblW w:w="14940" w:type="dxa"/>
      <w:tblInd w:w="-432" w:type="dxa"/>
      <w:tblLook w:val="01E0" w:firstRow="1" w:lastRow="1" w:firstColumn="1" w:lastColumn="1" w:noHBand="0" w:noVBand="0"/>
    </w:tblPr>
    <w:tblGrid>
      <w:gridCol w:w="4824"/>
      <w:gridCol w:w="4392"/>
      <w:gridCol w:w="5724"/>
    </w:tblGrid>
    <w:tr w:rsidR="008616D6" w:rsidRPr="00CD401F" w14:paraId="2337B81D" w14:textId="77777777" w:rsidTr="008C5601">
      <w:tc>
        <w:tcPr>
          <w:tcW w:w="4824" w:type="dxa"/>
          <w:shd w:val="clear" w:color="auto" w:fill="auto"/>
        </w:tcPr>
        <w:p w14:paraId="657BE50F" w14:textId="77777777" w:rsidR="008616D6" w:rsidRPr="00CD401F" w:rsidRDefault="0060757C" w:rsidP="0060757C">
          <w:pPr>
            <w:pStyle w:val="hosp-volume-no"/>
            <w:jc w:val="left"/>
            <w:rPr>
              <w:rFonts w:ascii="Univers LT Std 47 Cn Lt" w:hAnsi="Univers LT Std 47 Cn Lt"/>
              <w:szCs w:val="16"/>
            </w:rPr>
          </w:pPr>
          <w:r>
            <w:rPr>
              <w:rFonts w:ascii="Univers LT Std 47 Cn Lt" w:hAnsi="Univers LT Std 47 Cn Lt"/>
              <w:szCs w:val="16"/>
            </w:rPr>
            <w:t>April 6</w:t>
          </w:r>
          <w:r w:rsidR="00FD43EE">
            <w:rPr>
              <w:rFonts w:ascii="Univers LT Std 47 Cn Lt" w:hAnsi="Univers LT Std 47 Cn Lt"/>
              <w:szCs w:val="16"/>
            </w:rPr>
            <w:t>, 2017</w:t>
          </w:r>
        </w:p>
      </w:tc>
      <w:tc>
        <w:tcPr>
          <w:tcW w:w="4392" w:type="dxa"/>
          <w:shd w:val="clear" w:color="auto" w:fill="auto"/>
        </w:tcPr>
        <w:p w14:paraId="5D0F5E98" w14:textId="77777777" w:rsidR="008616D6" w:rsidRPr="00CD401F" w:rsidRDefault="008616D6" w:rsidP="008C5601">
          <w:pPr>
            <w:jc w:val="center"/>
            <w:rPr>
              <w:rFonts w:ascii="Univers LT Std 47 Cn Lt" w:hAnsi="Univers LT Std 47 Cn Lt"/>
              <w:sz w:val="16"/>
              <w:szCs w:val="16"/>
            </w:rPr>
          </w:pPr>
          <w:r w:rsidRPr="00CD401F">
            <w:rPr>
              <w:rFonts w:ascii="Univers LT Std 47 Cn Lt" w:hAnsi="Univers LT Std 47 Cn Lt"/>
              <w:sz w:val="16"/>
              <w:szCs w:val="16"/>
            </w:rPr>
            <w:t>ISMP MedicationSafetyAlert!</w:t>
          </w:r>
          <w:r w:rsidR="00FD43EE" w:rsidRPr="008C5601">
            <w:rPr>
              <w:rStyle w:val="Normal1"/>
              <w:rFonts w:ascii="Symbol" w:hAnsi="Symbol"/>
              <w:sz w:val="11"/>
              <w:vertAlign w:val="superscript"/>
            </w:rPr>
            <w:t></w:t>
          </w:r>
          <w:r w:rsidR="00FD43EE" w:rsidRPr="008C5601">
            <w:rPr>
              <w:rStyle w:val="Normal1"/>
              <w:rFonts w:ascii="Symbol" w:hAnsi="Symbol"/>
              <w:sz w:val="11"/>
              <w:vertAlign w:val="superscript"/>
            </w:rPr>
            <w:t></w:t>
          </w:r>
          <w:r w:rsidRPr="00CD401F">
            <w:rPr>
              <w:rFonts w:ascii="Univers LT Std 47 Cn Lt" w:hAnsi="Univers LT Std 47 Cn Lt"/>
              <w:sz w:val="16"/>
              <w:szCs w:val="16"/>
            </w:rPr>
            <w:cr/>
          </w:r>
        </w:p>
        <w:p w14:paraId="31ACC782" w14:textId="77777777" w:rsidR="008616D6" w:rsidRPr="00CD401F" w:rsidRDefault="008616D6" w:rsidP="008C5601">
          <w:pPr>
            <w:pStyle w:val="hosp-volume-no"/>
            <w:jc w:val="right"/>
            <w:rPr>
              <w:rFonts w:ascii="Univers LT Std 47 Cn Lt" w:hAnsi="Univers LT Std 47 Cn Lt"/>
              <w:szCs w:val="16"/>
            </w:rPr>
          </w:pPr>
        </w:p>
      </w:tc>
      <w:tc>
        <w:tcPr>
          <w:tcW w:w="5724" w:type="dxa"/>
          <w:shd w:val="clear" w:color="auto" w:fill="auto"/>
        </w:tcPr>
        <w:p w14:paraId="4C6E9B58" w14:textId="77777777" w:rsidR="008616D6" w:rsidRPr="00CD401F" w:rsidRDefault="008616D6" w:rsidP="008C5601">
          <w:pPr>
            <w:pStyle w:val="hosp-volume-no"/>
            <w:jc w:val="right"/>
            <w:rPr>
              <w:rFonts w:ascii="Univers LT Std 47 Cn Lt" w:hAnsi="Univers LT Std 47 Cn Lt"/>
              <w:szCs w:val="16"/>
            </w:rPr>
          </w:pPr>
          <w:r w:rsidRPr="00CD401F">
            <w:rPr>
              <w:rFonts w:ascii="Univers LT Std 47 Cn Lt" w:hAnsi="Univers LT Std 47 Cn Lt"/>
              <w:szCs w:val="16"/>
            </w:rPr>
            <w:t xml:space="preserve">QAA </w:t>
          </w:r>
          <w:r w:rsidRPr="00CD401F">
            <w:rPr>
              <w:rFonts w:ascii="Univers LT Std 47 Cn Lt" w:hAnsi="Univers LT Std 47 Cn Lt"/>
              <w:szCs w:val="16"/>
            </w:rPr>
            <w:fldChar w:fldCharType="begin"/>
          </w:r>
          <w:r w:rsidRPr="00CD401F">
            <w:rPr>
              <w:rFonts w:ascii="Univers LT Std 47 Cn Lt" w:hAnsi="Univers LT Std 47 Cn Lt"/>
              <w:szCs w:val="16"/>
            </w:rPr>
            <w:instrText xml:space="preserve"> PAGE </w:instrText>
          </w:r>
          <w:r w:rsidRPr="00CD401F">
            <w:rPr>
              <w:rFonts w:ascii="Univers LT Std 47 Cn Lt" w:hAnsi="Univers LT Std 47 Cn Lt"/>
              <w:szCs w:val="16"/>
            </w:rPr>
            <w:fldChar w:fldCharType="separate"/>
          </w:r>
          <w:r w:rsidR="008F44C7">
            <w:rPr>
              <w:rFonts w:ascii="Univers LT Std 47 Cn Lt" w:hAnsi="Univers LT Std 47 Cn Lt"/>
              <w:noProof/>
              <w:szCs w:val="16"/>
            </w:rPr>
            <w:t>4</w:t>
          </w:r>
          <w:r w:rsidRPr="00CD401F">
            <w:rPr>
              <w:rFonts w:ascii="Univers LT Std 47 Cn Lt" w:hAnsi="Univers LT Std 47 Cn Lt"/>
              <w:szCs w:val="16"/>
            </w:rPr>
            <w:fldChar w:fldCharType="end"/>
          </w:r>
        </w:p>
        <w:p w14:paraId="4A4A65FF" w14:textId="77777777" w:rsidR="008616D6" w:rsidRPr="00CD401F" w:rsidRDefault="008616D6" w:rsidP="008C5601">
          <w:pPr>
            <w:pStyle w:val="hosp-volume-no"/>
            <w:jc w:val="right"/>
            <w:rPr>
              <w:rFonts w:ascii="Univers LT Std 47 Cn Lt" w:hAnsi="Univers LT Std 47 Cn Lt"/>
              <w:szCs w:val="16"/>
            </w:rPr>
          </w:pPr>
        </w:p>
      </w:tc>
    </w:tr>
  </w:tbl>
  <w:p w14:paraId="2B9EE729" w14:textId="77777777" w:rsidR="008616D6" w:rsidRPr="00CD401F" w:rsidRDefault="008616D6" w:rsidP="00F52484">
    <w:pPr>
      <w:pStyle w:val="hosp-volume-no"/>
      <w:jc w:val="right"/>
      <w:rPr>
        <w:rFonts w:ascii="Univers LT Std 47 Cn Lt" w:hAnsi="Univers LT Std 47 Cn Lt"/>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839EE" w14:textId="77777777" w:rsidR="00B25C88" w:rsidRPr="000C417B" w:rsidRDefault="00B25C88" w:rsidP="00B25C88">
    <w:pPr>
      <w:pStyle w:val="hosp-volume-no"/>
      <w:rPr>
        <w:color w:val="000000"/>
      </w:rPr>
    </w:pPr>
  </w:p>
  <w:tbl>
    <w:tblPr>
      <w:tblW w:w="14940" w:type="dxa"/>
      <w:tblInd w:w="-432" w:type="dxa"/>
      <w:tblLook w:val="01E0" w:firstRow="1" w:lastRow="1" w:firstColumn="1" w:lastColumn="1" w:noHBand="0" w:noVBand="0"/>
    </w:tblPr>
    <w:tblGrid>
      <w:gridCol w:w="4824"/>
      <w:gridCol w:w="4392"/>
      <w:gridCol w:w="5724"/>
    </w:tblGrid>
    <w:tr w:rsidR="00B25C88" w14:paraId="1DA26844" w14:textId="77777777" w:rsidTr="008C5601">
      <w:tc>
        <w:tcPr>
          <w:tcW w:w="4824" w:type="dxa"/>
          <w:shd w:val="clear" w:color="auto" w:fill="auto"/>
        </w:tcPr>
        <w:p w14:paraId="129322E6" w14:textId="77777777" w:rsidR="00B25C88" w:rsidRPr="00EF1C8C" w:rsidRDefault="00CB37F5" w:rsidP="00CB37F5">
          <w:pPr>
            <w:pStyle w:val="hosp-volume-no"/>
            <w:jc w:val="left"/>
            <w:rPr>
              <w:rFonts w:ascii="Univers LT Std 47 Cn Lt" w:hAnsi="Univers LT Std 47 Cn Lt"/>
              <w:szCs w:val="16"/>
            </w:rPr>
          </w:pPr>
          <w:r>
            <w:rPr>
              <w:rFonts w:ascii="Univers LT Std 47 Cn Lt" w:hAnsi="Univers LT Std 47 Cn Lt"/>
              <w:color w:val="000000"/>
              <w:szCs w:val="16"/>
            </w:rPr>
            <w:t>April 6</w:t>
          </w:r>
          <w:r w:rsidR="00EF1C8C">
            <w:rPr>
              <w:rFonts w:ascii="Univers LT Std 47 Cn Lt" w:hAnsi="Univers LT Std 47 Cn Lt"/>
              <w:color w:val="000000"/>
              <w:szCs w:val="16"/>
            </w:rPr>
            <w:t>, 2017</w:t>
          </w:r>
        </w:p>
      </w:tc>
      <w:tc>
        <w:tcPr>
          <w:tcW w:w="4392" w:type="dxa"/>
          <w:shd w:val="clear" w:color="auto" w:fill="auto"/>
        </w:tcPr>
        <w:p w14:paraId="31AE9750" w14:textId="77777777" w:rsidR="00B25C88" w:rsidRPr="00EF1C8C" w:rsidRDefault="00B25C88" w:rsidP="008C5601">
          <w:pPr>
            <w:jc w:val="center"/>
            <w:rPr>
              <w:rFonts w:ascii="Univers LT Std 47 Cn Lt" w:hAnsi="Univers LT Std 47 Cn Lt"/>
              <w:sz w:val="16"/>
              <w:szCs w:val="16"/>
            </w:rPr>
          </w:pPr>
          <w:r w:rsidRPr="00EF1C8C">
            <w:rPr>
              <w:rFonts w:ascii="Univers LT Std 47 Cn Lt" w:hAnsi="Univers LT Std 47 Cn Lt"/>
              <w:position w:val="-1"/>
              <w:sz w:val="16"/>
              <w:szCs w:val="16"/>
            </w:rPr>
            <w:t>ISMP MedicationSafetyAlert!</w:t>
          </w:r>
          <w:r w:rsidR="00FD43EE" w:rsidRPr="008C5601">
            <w:rPr>
              <w:rStyle w:val="Normal1"/>
              <w:rFonts w:ascii="Symbol" w:hAnsi="Symbol"/>
              <w:sz w:val="11"/>
              <w:vertAlign w:val="superscript"/>
            </w:rPr>
            <w:t></w:t>
          </w:r>
          <w:r w:rsidR="00FD43EE" w:rsidRPr="008C5601">
            <w:rPr>
              <w:rStyle w:val="Normal1"/>
              <w:rFonts w:ascii="Symbol" w:hAnsi="Symbol"/>
              <w:sz w:val="11"/>
              <w:vertAlign w:val="superscript"/>
            </w:rPr>
            <w:t></w:t>
          </w:r>
          <w:r w:rsidRPr="00EF1C8C">
            <w:rPr>
              <w:rFonts w:ascii="Univers LT Std 47 Cn Lt" w:hAnsi="Univers LT Std 47 Cn Lt"/>
              <w:sz w:val="16"/>
              <w:szCs w:val="16"/>
            </w:rPr>
            <w:cr/>
          </w:r>
        </w:p>
        <w:p w14:paraId="11EFB607" w14:textId="77777777" w:rsidR="00B25C88" w:rsidRPr="00EF1C8C" w:rsidRDefault="00B25C88" w:rsidP="008C5601">
          <w:pPr>
            <w:pStyle w:val="hosp-volume-no"/>
            <w:jc w:val="right"/>
            <w:rPr>
              <w:rFonts w:ascii="Univers LT Std 47 Cn Lt" w:hAnsi="Univers LT Std 47 Cn Lt"/>
              <w:szCs w:val="16"/>
            </w:rPr>
          </w:pPr>
        </w:p>
      </w:tc>
      <w:tc>
        <w:tcPr>
          <w:tcW w:w="5724" w:type="dxa"/>
          <w:shd w:val="clear" w:color="auto" w:fill="auto"/>
        </w:tcPr>
        <w:p w14:paraId="3426D57A" w14:textId="77777777" w:rsidR="00B25C88" w:rsidRPr="00EF1C8C" w:rsidRDefault="00B25C88" w:rsidP="008C5601">
          <w:pPr>
            <w:pStyle w:val="hosp-volume-no"/>
            <w:jc w:val="right"/>
            <w:rPr>
              <w:rStyle w:val="PageNumber"/>
              <w:rFonts w:ascii="Univers LT Std 47 Cn Lt" w:hAnsi="Univers LT Std 47 Cn Lt"/>
              <w:color w:val="000000"/>
              <w:szCs w:val="16"/>
            </w:rPr>
          </w:pPr>
          <w:r w:rsidRPr="00EF1C8C">
            <w:rPr>
              <w:rFonts w:ascii="Univers LT Std 47 Cn Lt" w:hAnsi="Univers LT Std 47 Cn Lt"/>
              <w:szCs w:val="16"/>
            </w:rPr>
            <w:t xml:space="preserve">QAA </w:t>
          </w:r>
          <w:r w:rsidRPr="00EF1C8C">
            <w:rPr>
              <w:rStyle w:val="PageNumber"/>
              <w:rFonts w:ascii="Univers LT Std 47 Cn Lt" w:hAnsi="Univers LT Std 47 Cn Lt"/>
              <w:color w:val="000000"/>
              <w:szCs w:val="16"/>
            </w:rPr>
            <w:fldChar w:fldCharType="begin"/>
          </w:r>
          <w:r w:rsidRPr="00EF1C8C">
            <w:rPr>
              <w:rStyle w:val="PageNumber"/>
              <w:rFonts w:ascii="Univers LT Std 47 Cn Lt" w:hAnsi="Univers LT Std 47 Cn Lt"/>
              <w:color w:val="000000"/>
              <w:szCs w:val="16"/>
            </w:rPr>
            <w:instrText xml:space="preserve"> PAGE </w:instrText>
          </w:r>
          <w:r w:rsidRPr="00EF1C8C">
            <w:rPr>
              <w:rStyle w:val="PageNumber"/>
              <w:rFonts w:ascii="Univers LT Std 47 Cn Lt" w:hAnsi="Univers LT Std 47 Cn Lt"/>
              <w:color w:val="000000"/>
              <w:szCs w:val="16"/>
            </w:rPr>
            <w:fldChar w:fldCharType="separate"/>
          </w:r>
          <w:r w:rsidR="008F44C7">
            <w:rPr>
              <w:rStyle w:val="PageNumber"/>
              <w:rFonts w:ascii="Univers LT Std 47 Cn Lt" w:hAnsi="Univers LT Std 47 Cn Lt"/>
              <w:noProof/>
              <w:color w:val="000000"/>
              <w:szCs w:val="16"/>
            </w:rPr>
            <w:t>1</w:t>
          </w:r>
          <w:r w:rsidRPr="00EF1C8C">
            <w:rPr>
              <w:rStyle w:val="PageNumber"/>
              <w:rFonts w:ascii="Univers LT Std 47 Cn Lt" w:hAnsi="Univers LT Std 47 Cn Lt"/>
              <w:color w:val="000000"/>
              <w:szCs w:val="16"/>
            </w:rPr>
            <w:fldChar w:fldCharType="end"/>
          </w:r>
        </w:p>
        <w:p w14:paraId="50D8863B" w14:textId="77777777" w:rsidR="00B25C88" w:rsidRPr="00EF1C8C" w:rsidRDefault="00B25C88" w:rsidP="008C5601">
          <w:pPr>
            <w:pStyle w:val="hosp-volume-no"/>
            <w:jc w:val="right"/>
            <w:rPr>
              <w:rFonts w:ascii="Univers LT Std 47 Cn Lt" w:hAnsi="Univers LT Std 47 Cn Lt"/>
              <w:szCs w:val="16"/>
            </w:rPr>
          </w:pPr>
        </w:p>
      </w:tc>
    </w:tr>
  </w:tbl>
  <w:p w14:paraId="7A86C294" w14:textId="77777777" w:rsidR="00B25C88" w:rsidRDefault="00B25C88" w:rsidP="00B25C88">
    <w:pPr>
      <w:pStyle w:val="hosp-volume-no"/>
      <w:jc w:val="right"/>
    </w:pPr>
  </w:p>
  <w:p w14:paraId="1EE3ABB7" w14:textId="77777777" w:rsidR="008616D6" w:rsidRPr="00B25C88" w:rsidRDefault="008616D6" w:rsidP="00B25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AEB12" w14:textId="77777777" w:rsidR="005B0103" w:rsidRDefault="005B0103">
      <w:r>
        <w:separator/>
      </w:r>
    </w:p>
  </w:footnote>
  <w:footnote w:type="continuationSeparator" w:id="0">
    <w:p w14:paraId="23E3D1A7" w14:textId="77777777" w:rsidR="005B0103" w:rsidRDefault="005B0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699C8" w14:textId="77777777" w:rsidR="00CB37F5" w:rsidRDefault="00CB37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546EE" w14:textId="77777777" w:rsidR="008616D6" w:rsidRPr="00326F6C" w:rsidRDefault="0060757C" w:rsidP="00143524">
    <w:pPr>
      <w:jc w:val="center"/>
      <w:rPr>
        <w:rFonts w:ascii="Univers LT Std 57 Cn" w:hAnsi="Univers LT Std 57 Cn"/>
        <w:color w:val="999999"/>
        <w:sz w:val="18"/>
      </w:rPr>
    </w:pPr>
    <w:r>
      <w:rPr>
        <w:rFonts w:ascii="Univers LT Std 57 Cn" w:hAnsi="Univers LT Std 57 Cn"/>
        <w:color w:val="999999"/>
        <w:sz w:val="18"/>
      </w:rPr>
      <w:t>January – March 2017</w:t>
    </w:r>
  </w:p>
  <w:p w14:paraId="08BF1F56" w14:textId="77777777" w:rsidR="008616D6" w:rsidRPr="00326F6C" w:rsidRDefault="008616D6" w:rsidP="0066080D">
    <w:pPr>
      <w:ind w:right="-180"/>
      <w:jc w:val="center"/>
      <w:rPr>
        <w:rFonts w:ascii="Univers LT Std 55" w:hAnsi="Univers LT Std 55"/>
        <w:b/>
        <w:color w:val="D60030"/>
        <w:position w:val="-2"/>
        <w:sz w:val="32"/>
      </w:rPr>
    </w:pPr>
    <w:r w:rsidRPr="00326F6C">
      <w:rPr>
        <w:rFonts w:ascii="Univers LT Std 55" w:hAnsi="Univers LT Std 55"/>
        <w:b/>
        <w:i/>
        <w:color w:val="D60030"/>
        <w:position w:val="-1"/>
        <w:sz w:val="20"/>
      </w:rPr>
      <w:t>ISMP</w:t>
    </w:r>
    <w:r w:rsidRPr="00326F6C">
      <w:rPr>
        <w:rFonts w:ascii="Univers LT Std 55" w:hAnsi="Univers LT Std 55"/>
        <w:b/>
        <w:color w:val="D60030"/>
        <w:position w:val="-2"/>
        <w:sz w:val="32"/>
      </w:rPr>
      <w:t xml:space="preserve"> </w:t>
    </w:r>
    <w:r w:rsidRPr="00326F6C">
      <w:rPr>
        <w:rFonts w:ascii="Univers LT Std 45 Light" w:hAnsi="Univers LT Std 45 Light"/>
        <w:color w:val="D60030"/>
        <w:position w:val="-2"/>
        <w:sz w:val="32"/>
      </w:rPr>
      <w:t>Quarterly</w:t>
    </w:r>
    <w:r w:rsidRPr="00326F6C">
      <w:rPr>
        <w:rFonts w:ascii="Univers LT Std 55" w:hAnsi="Univers LT Std 55"/>
        <w:b/>
        <w:color w:val="D60030"/>
        <w:position w:val="-2"/>
        <w:sz w:val="32"/>
      </w:rPr>
      <w:t>Action</w:t>
    </w:r>
    <w:r w:rsidRPr="00326F6C">
      <w:rPr>
        <w:rFonts w:ascii="Univers LT Std 45 Light" w:hAnsi="Univers LT Std 45 Light"/>
        <w:color w:val="D60030"/>
        <w:position w:val="-2"/>
        <w:sz w:val="32"/>
      </w:rPr>
      <w:t>Agenda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629A4" w14:textId="77777777" w:rsidR="008616D6" w:rsidRPr="00326F6C" w:rsidRDefault="00CB37F5" w:rsidP="00D66374">
    <w:pPr>
      <w:jc w:val="center"/>
      <w:rPr>
        <w:rFonts w:ascii="Univers LT Std 57 Cn" w:hAnsi="Univers LT Std 57 Cn"/>
        <w:color w:val="999999"/>
        <w:sz w:val="18"/>
      </w:rPr>
    </w:pPr>
    <w:bookmarkStart w:id="19" w:name="OLE_LINK1"/>
    <w:bookmarkStart w:id="20" w:name="OLE_LINK2"/>
    <w:r>
      <w:rPr>
        <w:rFonts w:ascii="Univers LT Std 57 Cn" w:hAnsi="Univers LT Std 57 Cn"/>
        <w:color w:val="999999"/>
        <w:sz w:val="18"/>
      </w:rPr>
      <w:t>January – March 2017</w:t>
    </w:r>
  </w:p>
  <w:bookmarkEnd w:id="19"/>
  <w:bookmarkEnd w:id="20"/>
  <w:p w14:paraId="6F68302C" w14:textId="77777777" w:rsidR="008616D6" w:rsidRPr="00326F6C" w:rsidRDefault="008616D6" w:rsidP="00975D5C">
    <w:pPr>
      <w:jc w:val="center"/>
      <w:rPr>
        <w:rFonts w:ascii="Univers LT Std 45 Light" w:hAnsi="Univers LT Std 45 Light"/>
        <w:b/>
        <w:color w:val="D60030"/>
        <w:position w:val="-2"/>
        <w:sz w:val="32"/>
      </w:rPr>
    </w:pPr>
    <w:r w:rsidRPr="00326F6C">
      <w:rPr>
        <w:rFonts w:ascii="Univers LT Std 45 Light" w:hAnsi="Univers LT Std 45 Light"/>
        <w:b/>
        <w:i/>
        <w:color w:val="D60030"/>
        <w:position w:val="-2"/>
        <w:sz w:val="34"/>
      </w:rPr>
      <w:t>ISMP</w:t>
    </w:r>
    <w:r w:rsidRPr="00326F6C">
      <w:rPr>
        <w:rFonts w:ascii="Univers LT Std 45 Light" w:hAnsi="Univers LT Std 45 Light"/>
        <w:b/>
        <w:color w:val="D60030"/>
        <w:position w:val="-3"/>
        <w:sz w:val="54"/>
      </w:rPr>
      <w:t xml:space="preserve"> </w:t>
    </w:r>
    <w:r w:rsidRPr="00326F6C">
      <w:rPr>
        <w:rFonts w:ascii="Univers LT Std 55" w:hAnsi="Univers LT Std 55"/>
        <w:color w:val="D60030"/>
        <w:position w:val="-3"/>
        <w:sz w:val="54"/>
      </w:rPr>
      <w:t>Quarterly</w:t>
    </w:r>
    <w:r w:rsidRPr="00326F6C">
      <w:rPr>
        <w:rFonts w:ascii="Univers LT Std 45 Light" w:hAnsi="Univers LT Std 45 Light"/>
        <w:b/>
        <w:color w:val="D60030"/>
        <w:position w:val="-3"/>
        <w:sz w:val="54"/>
      </w:rPr>
      <w:t>Action</w:t>
    </w:r>
    <w:r w:rsidRPr="00326F6C">
      <w:rPr>
        <w:rFonts w:ascii="Univers LT Std 45 Light" w:hAnsi="Univers LT Std 45 Light"/>
        <w:color w:val="D60030"/>
        <w:position w:val="-3"/>
        <w:sz w:val="54"/>
      </w:rPr>
      <w:t>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210FF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92A84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B647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42143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D6BF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3871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8CAF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778F1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38B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B49C4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US" w:vendorID="64" w:dllVersion="6" w:nlCheck="1" w:checkStyle="1"/>
  <w:activeWritingStyle w:appName="MSWord" w:lang="en-US" w:vendorID="64" w:dllVersion="0"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9D7"/>
    <w:rsid w:val="0000263F"/>
    <w:rsid w:val="00007686"/>
    <w:rsid w:val="000136D2"/>
    <w:rsid w:val="000220DD"/>
    <w:rsid w:val="00022EF4"/>
    <w:rsid w:val="00041291"/>
    <w:rsid w:val="0004277F"/>
    <w:rsid w:val="0004435C"/>
    <w:rsid w:val="000604BB"/>
    <w:rsid w:val="00061872"/>
    <w:rsid w:val="00064509"/>
    <w:rsid w:val="00064888"/>
    <w:rsid w:val="00065E21"/>
    <w:rsid w:val="00086CE1"/>
    <w:rsid w:val="00090643"/>
    <w:rsid w:val="00097AED"/>
    <w:rsid w:val="000B0AF6"/>
    <w:rsid w:val="000B4627"/>
    <w:rsid w:val="000C417B"/>
    <w:rsid w:val="000D05BF"/>
    <w:rsid w:val="000D4F5A"/>
    <w:rsid w:val="000E36E6"/>
    <w:rsid w:val="000E54F1"/>
    <w:rsid w:val="000E5CFA"/>
    <w:rsid w:val="00102D23"/>
    <w:rsid w:val="00107B68"/>
    <w:rsid w:val="001121F0"/>
    <w:rsid w:val="00121FA9"/>
    <w:rsid w:val="00125154"/>
    <w:rsid w:val="00136F07"/>
    <w:rsid w:val="00143524"/>
    <w:rsid w:val="001451F0"/>
    <w:rsid w:val="00147349"/>
    <w:rsid w:val="001655FA"/>
    <w:rsid w:val="00171CDF"/>
    <w:rsid w:val="001759C0"/>
    <w:rsid w:val="00175AEE"/>
    <w:rsid w:val="00181869"/>
    <w:rsid w:val="00193DF7"/>
    <w:rsid w:val="001A492A"/>
    <w:rsid w:val="001B0F0B"/>
    <w:rsid w:val="001B4218"/>
    <w:rsid w:val="001C76EB"/>
    <w:rsid w:val="001D00E3"/>
    <w:rsid w:val="001D22EF"/>
    <w:rsid w:val="001D2E86"/>
    <w:rsid w:val="001E05A5"/>
    <w:rsid w:val="001E1837"/>
    <w:rsid w:val="001E4403"/>
    <w:rsid w:val="001F246B"/>
    <w:rsid w:val="001F4C4B"/>
    <w:rsid w:val="00235ABC"/>
    <w:rsid w:val="00243DFE"/>
    <w:rsid w:val="002527D2"/>
    <w:rsid w:val="00260A21"/>
    <w:rsid w:val="00282888"/>
    <w:rsid w:val="00292167"/>
    <w:rsid w:val="00293E7C"/>
    <w:rsid w:val="00296DB9"/>
    <w:rsid w:val="002A432E"/>
    <w:rsid w:val="002B79E7"/>
    <w:rsid w:val="002C0BAF"/>
    <w:rsid w:val="002C73F8"/>
    <w:rsid w:val="002D503B"/>
    <w:rsid w:val="002E16D6"/>
    <w:rsid w:val="002F520F"/>
    <w:rsid w:val="003003E2"/>
    <w:rsid w:val="00302040"/>
    <w:rsid w:val="00303113"/>
    <w:rsid w:val="00311B3C"/>
    <w:rsid w:val="00317B44"/>
    <w:rsid w:val="00320B7E"/>
    <w:rsid w:val="00326F6C"/>
    <w:rsid w:val="00330C42"/>
    <w:rsid w:val="003354EC"/>
    <w:rsid w:val="003517AB"/>
    <w:rsid w:val="00352C0F"/>
    <w:rsid w:val="00374BE7"/>
    <w:rsid w:val="00377B07"/>
    <w:rsid w:val="0038144F"/>
    <w:rsid w:val="00391190"/>
    <w:rsid w:val="003920B6"/>
    <w:rsid w:val="003957A8"/>
    <w:rsid w:val="00397550"/>
    <w:rsid w:val="003A2BB2"/>
    <w:rsid w:val="003C0364"/>
    <w:rsid w:val="003C0D38"/>
    <w:rsid w:val="003D000D"/>
    <w:rsid w:val="003D105E"/>
    <w:rsid w:val="003E7BFC"/>
    <w:rsid w:val="004129D0"/>
    <w:rsid w:val="00413B0D"/>
    <w:rsid w:val="00421987"/>
    <w:rsid w:val="00422005"/>
    <w:rsid w:val="00427B70"/>
    <w:rsid w:val="00434F86"/>
    <w:rsid w:val="00446E8F"/>
    <w:rsid w:val="00450B0C"/>
    <w:rsid w:val="0046245C"/>
    <w:rsid w:val="00473B6D"/>
    <w:rsid w:val="00481F29"/>
    <w:rsid w:val="00482777"/>
    <w:rsid w:val="004847A3"/>
    <w:rsid w:val="00491DD2"/>
    <w:rsid w:val="00491E67"/>
    <w:rsid w:val="0049572E"/>
    <w:rsid w:val="004A0A0F"/>
    <w:rsid w:val="004A5A50"/>
    <w:rsid w:val="004A716E"/>
    <w:rsid w:val="004B0130"/>
    <w:rsid w:val="004B09A4"/>
    <w:rsid w:val="004B29BE"/>
    <w:rsid w:val="004B309D"/>
    <w:rsid w:val="004C4A63"/>
    <w:rsid w:val="004C79A5"/>
    <w:rsid w:val="004E5B3C"/>
    <w:rsid w:val="004E67A3"/>
    <w:rsid w:val="004F0D06"/>
    <w:rsid w:val="00500EEB"/>
    <w:rsid w:val="00502537"/>
    <w:rsid w:val="00503C5E"/>
    <w:rsid w:val="0050693E"/>
    <w:rsid w:val="00510080"/>
    <w:rsid w:val="005226C7"/>
    <w:rsid w:val="00526783"/>
    <w:rsid w:val="00533376"/>
    <w:rsid w:val="00560123"/>
    <w:rsid w:val="0056132C"/>
    <w:rsid w:val="00563CCC"/>
    <w:rsid w:val="005755AB"/>
    <w:rsid w:val="00577684"/>
    <w:rsid w:val="00583355"/>
    <w:rsid w:val="005A57EA"/>
    <w:rsid w:val="005B0103"/>
    <w:rsid w:val="005B24A2"/>
    <w:rsid w:val="005B2CAD"/>
    <w:rsid w:val="005C016C"/>
    <w:rsid w:val="005D2A75"/>
    <w:rsid w:val="005E73C8"/>
    <w:rsid w:val="005E790A"/>
    <w:rsid w:val="006009B5"/>
    <w:rsid w:val="00600C47"/>
    <w:rsid w:val="0060757C"/>
    <w:rsid w:val="00623B18"/>
    <w:rsid w:val="006314AA"/>
    <w:rsid w:val="0063283A"/>
    <w:rsid w:val="00634B19"/>
    <w:rsid w:val="00646C5C"/>
    <w:rsid w:val="0066080D"/>
    <w:rsid w:val="006630A4"/>
    <w:rsid w:val="0067274F"/>
    <w:rsid w:val="00684D1E"/>
    <w:rsid w:val="00685901"/>
    <w:rsid w:val="0068779D"/>
    <w:rsid w:val="006A05FD"/>
    <w:rsid w:val="006B0563"/>
    <w:rsid w:val="006C0394"/>
    <w:rsid w:val="006C1155"/>
    <w:rsid w:val="006C1A02"/>
    <w:rsid w:val="006C39CF"/>
    <w:rsid w:val="006D0AC2"/>
    <w:rsid w:val="006D1340"/>
    <w:rsid w:val="006D13E9"/>
    <w:rsid w:val="006D5489"/>
    <w:rsid w:val="006D671A"/>
    <w:rsid w:val="006E3B88"/>
    <w:rsid w:val="006E656E"/>
    <w:rsid w:val="006E6DD0"/>
    <w:rsid w:val="006F0B2B"/>
    <w:rsid w:val="006F4DF2"/>
    <w:rsid w:val="006F6697"/>
    <w:rsid w:val="007020A9"/>
    <w:rsid w:val="007142CD"/>
    <w:rsid w:val="0071495C"/>
    <w:rsid w:val="00720867"/>
    <w:rsid w:val="00721D8F"/>
    <w:rsid w:val="0072480E"/>
    <w:rsid w:val="007266B9"/>
    <w:rsid w:val="0072762E"/>
    <w:rsid w:val="00734609"/>
    <w:rsid w:val="007419DE"/>
    <w:rsid w:val="0075586D"/>
    <w:rsid w:val="00757D59"/>
    <w:rsid w:val="00761130"/>
    <w:rsid w:val="00763821"/>
    <w:rsid w:val="00784614"/>
    <w:rsid w:val="00786C19"/>
    <w:rsid w:val="0078775E"/>
    <w:rsid w:val="00787925"/>
    <w:rsid w:val="0079346C"/>
    <w:rsid w:val="00797B8B"/>
    <w:rsid w:val="007A3331"/>
    <w:rsid w:val="007A3DF7"/>
    <w:rsid w:val="007B3E30"/>
    <w:rsid w:val="007C5952"/>
    <w:rsid w:val="007E4305"/>
    <w:rsid w:val="007F1916"/>
    <w:rsid w:val="007F3754"/>
    <w:rsid w:val="007F6FE5"/>
    <w:rsid w:val="007F7AE7"/>
    <w:rsid w:val="00812336"/>
    <w:rsid w:val="008219D3"/>
    <w:rsid w:val="00822244"/>
    <w:rsid w:val="0082558E"/>
    <w:rsid w:val="008279B2"/>
    <w:rsid w:val="00830ED3"/>
    <w:rsid w:val="00830F6C"/>
    <w:rsid w:val="008616D6"/>
    <w:rsid w:val="008712E1"/>
    <w:rsid w:val="008746DC"/>
    <w:rsid w:val="00880D47"/>
    <w:rsid w:val="0089012D"/>
    <w:rsid w:val="00892D86"/>
    <w:rsid w:val="00893CF3"/>
    <w:rsid w:val="00897440"/>
    <w:rsid w:val="00897E07"/>
    <w:rsid w:val="008B248A"/>
    <w:rsid w:val="008C06DD"/>
    <w:rsid w:val="008C4BCC"/>
    <w:rsid w:val="008C4CFB"/>
    <w:rsid w:val="008C5601"/>
    <w:rsid w:val="008D081B"/>
    <w:rsid w:val="008D17CC"/>
    <w:rsid w:val="008D39F5"/>
    <w:rsid w:val="008D61D0"/>
    <w:rsid w:val="008D7CCF"/>
    <w:rsid w:val="008E38BF"/>
    <w:rsid w:val="008E77D1"/>
    <w:rsid w:val="008F44C7"/>
    <w:rsid w:val="008F7288"/>
    <w:rsid w:val="00905278"/>
    <w:rsid w:val="00915704"/>
    <w:rsid w:val="00927C99"/>
    <w:rsid w:val="00930886"/>
    <w:rsid w:val="009447B1"/>
    <w:rsid w:val="009459E4"/>
    <w:rsid w:val="00952132"/>
    <w:rsid w:val="0096106F"/>
    <w:rsid w:val="00966C3E"/>
    <w:rsid w:val="00971EF2"/>
    <w:rsid w:val="009747A4"/>
    <w:rsid w:val="00975D5C"/>
    <w:rsid w:val="00977CAA"/>
    <w:rsid w:val="009A1561"/>
    <w:rsid w:val="009A59FA"/>
    <w:rsid w:val="009A76D2"/>
    <w:rsid w:val="009C284F"/>
    <w:rsid w:val="009E1870"/>
    <w:rsid w:val="009F5965"/>
    <w:rsid w:val="009F5FB8"/>
    <w:rsid w:val="009F7439"/>
    <w:rsid w:val="00A02ECF"/>
    <w:rsid w:val="00A0309D"/>
    <w:rsid w:val="00A107FA"/>
    <w:rsid w:val="00A30BF2"/>
    <w:rsid w:val="00A32D65"/>
    <w:rsid w:val="00A41E36"/>
    <w:rsid w:val="00A53FFE"/>
    <w:rsid w:val="00A5481A"/>
    <w:rsid w:val="00A61736"/>
    <w:rsid w:val="00A620BD"/>
    <w:rsid w:val="00A646DB"/>
    <w:rsid w:val="00A6494A"/>
    <w:rsid w:val="00A65BFF"/>
    <w:rsid w:val="00A66F76"/>
    <w:rsid w:val="00A6798F"/>
    <w:rsid w:val="00A7297D"/>
    <w:rsid w:val="00A81AFD"/>
    <w:rsid w:val="00A84C70"/>
    <w:rsid w:val="00A95C98"/>
    <w:rsid w:val="00AD5382"/>
    <w:rsid w:val="00AE4ABA"/>
    <w:rsid w:val="00AF213F"/>
    <w:rsid w:val="00AF29B5"/>
    <w:rsid w:val="00B201DD"/>
    <w:rsid w:val="00B201FC"/>
    <w:rsid w:val="00B25C88"/>
    <w:rsid w:val="00B722C2"/>
    <w:rsid w:val="00B7509C"/>
    <w:rsid w:val="00B81EEF"/>
    <w:rsid w:val="00BA340E"/>
    <w:rsid w:val="00BB0667"/>
    <w:rsid w:val="00BC711F"/>
    <w:rsid w:val="00BE2252"/>
    <w:rsid w:val="00BF6076"/>
    <w:rsid w:val="00C02132"/>
    <w:rsid w:val="00C1299F"/>
    <w:rsid w:val="00C1505F"/>
    <w:rsid w:val="00C15944"/>
    <w:rsid w:val="00C3004B"/>
    <w:rsid w:val="00C301D5"/>
    <w:rsid w:val="00C40A3A"/>
    <w:rsid w:val="00C43829"/>
    <w:rsid w:val="00C44915"/>
    <w:rsid w:val="00C5096F"/>
    <w:rsid w:val="00C56E2D"/>
    <w:rsid w:val="00C67F47"/>
    <w:rsid w:val="00C74DB6"/>
    <w:rsid w:val="00C80DC7"/>
    <w:rsid w:val="00C84627"/>
    <w:rsid w:val="00C963CD"/>
    <w:rsid w:val="00CB0213"/>
    <w:rsid w:val="00CB37F5"/>
    <w:rsid w:val="00CB5ECF"/>
    <w:rsid w:val="00CB7905"/>
    <w:rsid w:val="00CC1137"/>
    <w:rsid w:val="00CC1812"/>
    <w:rsid w:val="00CC7533"/>
    <w:rsid w:val="00CC7FC5"/>
    <w:rsid w:val="00CD401F"/>
    <w:rsid w:val="00CD49D7"/>
    <w:rsid w:val="00CD50BA"/>
    <w:rsid w:val="00CF6895"/>
    <w:rsid w:val="00D0668D"/>
    <w:rsid w:val="00D22440"/>
    <w:rsid w:val="00D265BB"/>
    <w:rsid w:val="00D5110F"/>
    <w:rsid w:val="00D5324B"/>
    <w:rsid w:val="00D66374"/>
    <w:rsid w:val="00D84E5E"/>
    <w:rsid w:val="00D96759"/>
    <w:rsid w:val="00D969B6"/>
    <w:rsid w:val="00DA52FA"/>
    <w:rsid w:val="00DB0EA0"/>
    <w:rsid w:val="00DB2E0D"/>
    <w:rsid w:val="00DB58A5"/>
    <w:rsid w:val="00DE5A6B"/>
    <w:rsid w:val="00DE62D1"/>
    <w:rsid w:val="00DE77D2"/>
    <w:rsid w:val="00DF38FA"/>
    <w:rsid w:val="00DF45D1"/>
    <w:rsid w:val="00DF6FB9"/>
    <w:rsid w:val="00E02C58"/>
    <w:rsid w:val="00E138BE"/>
    <w:rsid w:val="00E20F27"/>
    <w:rsid w:val="00E27F99"/>
    <w:rsid w:val="00E31488"/>
    <w:rsid w:val="00E325CF"/>
    <w:rsid w:val="00E4096B"/>
    <w:rsid w:val="00E47C31"/>
    <w:rsid w:val="00E512B3"/>
    <w:rsid w:val="00E66879"/>
    <w:rsid w:val="00E81452"/>
    <w:rsid w:val="00E856E5"/>
    <w:rsid w:val="00E872FA"/>
    <w:rsid w:val="00E91CB5"/>
    <w:rsid w:val="00EA4612"/>
    <w:rsid w:val="00EA5888"/>
    <w:rsid w:val="00EA5B96"/>
    <w:rsid w:val="00EB685C"/>
    <w:rsid w:val="00EC0343"/>
    <w:rsid w:val="00EC214F"/>
    <w:rsid w:val="00EC30D1"/>
    <w:rsid w:val="00ED7DDF"/>
    <w:rsid w:val="00EF0933"/>
    <w:rsid w:val="00EF1C8C"/>
    <w:rsid w:val="00EF58E6"/>
    <w:rsid w:val="00F003F7"/>
    <w:rsid w:val="00F22B45"/>
    <w:rsid w:val="00F25E6B"/>
    <w:rsid w:val="00F31092"/>
    <w:rsid w:val="00F41A79"/>
    <w:rsid w:val="00F435C0"/>
    <w:rsid w:val="00F52484"/>
    <w:rsid w:val="00F53E84"/>
    <w:rsid w:val="00F63EBC"/>
    <w:rsid w:val="00F71090"/>
    <w:rsid w:val="00F73AF8"/>
    <w:rsid w:val="00F8736B"/>
    <w:rsid w:val="00F901ED"/>
    <w:rsid w:val="00F95EC3"/>
    <w:rsid w:val="00FA1540"/>
    <w:rsid w:val="00FA2ECF"/>
    <w:rsid w:val="00FA3D62"/>
    <w:rsid w:val="00FB06DE"/>
    <w:rsid w:val="00FB2CD6"/>
    <w:rsid w:val="00FC136F"/>
    <w:rsid w:val="00FD43EE"/>
    <w:rsid w:val="00FE2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7B98D1"/>
  <w15:docId w15:val="{04502FB0-B075-46D2-8895-5C59FA5F8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9119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ED7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locked/>
    <w:rsid w:val="00097AED"/>
    <w:rPr>
      <w:i/>
      <w:iCs/>
    </w:rPr>
  </w:style>
  <w:style w:type="paragraph" w:customStyle="1" w:styleId="AC-table-hed">
    <w:name w:val="AC-table-hed"/>
    <w:locked/>
    <w:rsid w:val="00763821"/>
    <w:pPr>
      <w:tabs>
        <w:tab w:val="center" w:pos="5735"/>
        <w:tab w:val="center" w:pos="7906"/>
        <w:tab w:val="center" w:pos="10080"/>
      </w:tabs>
      <w:spacing w:line="200" w:lineRule="exact"/>
    </w:pPr>
    <w:rPr>
      <w:rFonts w:ascii="Akzidenz Grotesk BE BoldEx" w:hAnsi="Akzidenz Grotesk BE BoldEx"/>
      <w:sz w:val="19"/>
    </w:rPr>
  </w:style>
  <w:style w:type="paragraph" w:customStyle="1" w:styleId="AC-table-body">
    <w:name w:val="AC-table-body"/>
    <w:qFormat/>
    <w:rsid w:val="00763821"/>
    <w:pPr>
      <w:tabs>
        <w:tab w:val="center" w:pos="5735"/>
        <w:tab w:val="center" w:pos="7906"/>
        <w:tab w:val="center" w:pos="10080"/>
      </w:tabs>
      <w:spacing w:line="240" w:lineRule="exact"/>
    </w:pPr>
    <w:rPr>
      <w:rFonts w:ascii="Akzidenz Grotesk BE Cn" w:hAnsi="Akzidenz Grotesk BE Cn"/>
    </w:rPr>
  </w:style>
  <w:style w:type="paragraph" w:customStyle="1" w:styleId="Acutecare-new-agenda-hed">
    <w:name w:val="Acutecare-new-agenda-hed"/>
    <w:qFormat/>
    <w:locked/>
    <w:rsid w:val="003D105E"/>
    <w:pPr>
      <w:tabs>
        <w:tab w:val="center" w:pos="5735"/>
        <w:tab w:val="center" w:pos="7906"/>
        <w:tab w:val="center" w:pos="10080"/>
      </w:tabs>
      <w:jc w:val="center"/>
    </w:pPr>
    <w:rPr>
      <w:rFonts w:ascii="Akzidenz Grotesk BE BoldEx" w:hAnsi="Akzidenz Grotesk BE BoldEx"/>
      <w:w w:val="90"/>
      <w:sz w:val="19"/>
    </w:rPr>
  </w:style>
  <w:style w:type="paragraph" w:customStyle="1" w:styleId="StyleAC-table-hed85ptWhiteCentered">
    <w:name w:val="Style AC-table-hed + 8.5 pt White Centered"/>
    <w:basedOn w:val="AC-table-hed"/>
    <w:locked/>
    <w:rsid w:val="00DF45D1"/>
    <w:pPr>
      <w:spacing w:before="20"/>
      <w:jc w:val="center"/>
    </w:pPr>
    <w:rPr>
      <w:color w:val="FFFFFF"/>
      <w:sz w:val="17"/>
    </w:rPr>
  </w:style>
  <w:style w:type="paragraph" w:styleId="Header">
    <w:name w:val="header"/>
    <w:basedOn w:val="Normal"/>
    <w:locked/>
    <w:rsid w:val="008D7CCF"/>
    <w:pPr>
      <w:tabs>
        <w:tab w:val="center" w:pos="4320"/>
        <w:tab w:val="right" w:pos="8640"/>
      </w:tabs>
    </w:pPr>
  </w:style>
  <w:style w:type="paragraph" w:styleId="Footer">
    <w:name w:val="footer"/>
    <w:basedOn w:val="Normal"/>
    <w:locked/>
    <w:rsid w:val="008D7CCF"/>
    <w:pPr>
      <w:tabs>
        <w:tab w:val="center" w:pos="4320"/>
        <w:tab w:val="right" w:pos="8640"/>
      </w:tabs>
    </w:pPr>
  </w:style>
  <w:style w:type="paragraph" w:customStyle="1" w:styleId="hosp-volume-no">
    <w:name w:val="hosp-volume-no."/>
    <w:locked/>
    <w:rsid w:val="008D7CCF"/>
    <w:pPr>
      <w:jc w:val="both"/>
    </w:pPr>
    <w:rPr>
      <w:rFonts w:ascii="Akzidenz Grotesk BE Light" w:hAnsi="Akzidenz Grotesk BE Light"/>
      <w:sz w:val="16"/>
    </w:rPr>
  </w:style>
  <w:style w:type="character" w:styleId="PageNumber">
    <w:name w:val="page number"/>
    <w:basedOn w:val="DefaultParagraphFont"/>
    <w:locked/>
    <w:rsid w:val="008D7CCF"/>
  </w:style>
  <w:style w:type="character" w:customStyle="1" w:styleId="Normal1">
    <w:name w:val="Normal1"/>
    <w:locked/>
    <w:rsid w:val="00B201FC"/>
    <w:rPr>
      <w:rFonts w:ascii="Arial" w:hAnsi="Arial"/>
      <w:sz w:val="24"/>
    </w:rPr>
  </w:style>
  <w:style w:type="character" w:customStyle="1" w:styleId="safety-B-url">
    <w:name w:val="safety-B-url"/>
    <w:locked/>
    <w:rsid w:val="00C43829"/>
    <w:rPr>
      <w:rFonts w:ascii="Akzidenz Grotesk BE Cn" w:hAnsi="Akzidenz Grotesk BE Cn"/>
      <w:color w:val="0C419A"/>
      <w:spacing w:val="0"/>
      <w:sz w:val="20"/>
      <w:u w:val="single"/>
    </w:rPr>
  </w:style>
  <w:style w:type="character" w:styleId="Hyperlink">
    <w:name w:val="Hyperlink"/>
    <w:locked/>
    <w:rsid w:val="00A5481A"/>
    <w:rPr>
      <w:color w:val="0000FF"/>
      <w:u w:val="single"/>
    </w:rPr>
  </w:style>
  <w:style w:type="paragraph" w:customStyle="1" w:styleId="Style1">
    <w:name w:val="Style1"/>
    <w:basedOn w:val="Acutecare-new-agenda-hed"/>
    <w:rsid w:val="00B81EEF"/>
    <w:rPr>
      <w:sz w:val="18"/>
    </w:rPr>
  </w:style>
  <w:style w:type="paragraph" w:styleId="BalloonText">
    <w:name w:val="Balloon Text"/>
    <w:basedOn w:val="Normal"/>
    <w:link w:val="BalloonTextChar"/>
    <w:locked/>
    <w:rsid w:val="009F5FB8"/>
    <w:rPr>
      <w:rFonts w:ascii="Tahoma" w:hAnsi="Tahoma" w:cs="Tahoma"/>
      <w:sz w:val="16"/>
      <w:szCs w:val="16"/>
    </w:rPr>
  </w:style>
  <w:style w:type="character" w:customStyle="1" w:styleId="BalloonTextChar">
    <w:name w:val="Balloon Text Char"/>
    <w:basedOn w:val="DefaultParagraphFont"/>
    <w:link w:val="BalloonText"/>
    <w:rsid w:val="009F5FB8"/>
    <w:rPr>
      <w:rFonts w:ascii="Tahoma" w:hAnsi="Tahoma" w:cs="Tahoma"/>
      <w:sz w:val="16"/>
      <w:szCs w:val="16"/>
    </w:rPr>
  </w:style>
  <w:style w:type="paragraph" w:customStyle="1" w:styleId="AGENDA-body">
    <w:name w:val="AGENDA-body"/>
    <w:qFormat/>
    <w:rsid w:val="00491DD2"/>
    <w:pPr>
      <w:tabs>
        <w:tab w:val="center" w:pos="5735"/>
        <w:tab w:val="center" w:pos="7906"/>
        <w:tab w:val="center" w:pos="10080"/>
      </w:tabs>
      <w:spacing w:line="240" w:lineRule="exact"/>
      <w:textAlignment w:val="baseline"/>
    </w:pPr>
    <w:rPr>
      <w:rFonts w:ascii="Univers LT Std 57 Cn" w:eastAsia="Univers LT Std 57 Cn" w:hAnsi="Univers LT Std 57 Cn" w:cs="Univers LT Std 57 Cn"/>
      <w:color w:val="262526"/>
      <w:spacing w:val="-5"/>
      <w:w w:val="99"/>
      <w:lang w:bidi="en-US"/>
    </w:rPr>
  </w:style>
  <w:style w:type="paragraph" w:customStyle="1" w:styleId="AGENDA-table-titles">
    <w:name w:val="AGENDA-table-titles"/>
    <w:qFormat/>
    <w:rsid w:val="00526783"/>
    <w:pPr>
      <w:tabs>
        <w:tab w:val="center" w:pos="5735"/>
        <w:tab w:val="center" w:pos="7906"/>
        <w:tab w:val="center" w:pos="10080"/>
      </w:tabs>
      <w:spacing w:line="200" w:lineRule="exact"/>
      <w:jc w:val="center"/>
      <w:textAlignment w:val="baseline"/>
    </w:pPr>
    <w:rPr>
      <w:rFonts w:ascii="Univers LT Std 55" w:eastAsia="Univers LT Std 55" w:hAnsi="Univers LT Std 55" w:cs="Univers LT Std 55"/>
      <w:b/>
      <w:color w:val="262526"/>
      <w:spacing w:val="-1"/>
      <w:w w:val="89"/>
      <w:sz w:val="19"/>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63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oleObject" Target="embeddings/Microsoft_Word_97_-_2003_Document.doc"/><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ISMP\ISMP-nl\ismp-acutecare-NL\templates-lib\ActionAgenda13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669FA9011CB4241BCE9FB143DFC7D87" ma:contentTypeVersion="8" ma:contentTypeDescription="Create a new document." ma:contentTypeScope="" ma:versionID="e37dc911dc5243bbe578da0330f24950">
  <xsd:schema xmlns:xsd="http://www.w3.org/2001/XMLSchema" xmlns:xs="http://www.w3.org/2001/XMLSchema" xmlns:p="http://schemas.microsoft.com/office/2006/metadata/properties" xmlns:ns2="15b9b306-a27a-47a5-95ee-23e6b8cd343e" xmlns:ns3="9d419ed9-10ab-41c6-a5a9-ae073a0ae28f" targetNamespace="http://schemas.microsoft.com/office/2006/metadata/properties" ma:root="true" ma:fieldsID="7637480e4758b178beb448a124b5e96a" ns2:_="" ns3:_="">
    <xsd:import namespace="15b9b306-a27a-47a5-95ee-23e6b8cd343e"/>
    <xsd:import namespace="9d419ed9-10ab-41c6-a5a9-ae073a0ae2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9b306-a27a-47a5-95ee-23e6b8cd34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419ed9-10ab-41c6-a5a9-ae073a0ae2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EE85A3-10DE-4619-A482-8A04978ED52A}">
  <ds:schemaRefs>
    <ds:schemaRef ds:uri="http://schemas.openxmlformats.org/officeDocument/2006/bibliography"/>
  </ds:schemaRefs>
</ds:datastoreItem>
</file>

<file path=customXml/itemProps2.xml><?xml version="1.0" encoding="utf-8"?>
<ds:datastoreItem xmlns:ds="http://schemas.openxmlformats.org/officeDocument/2006/customXml" ds:itemID="{AE98280F-05C2-4077-A150-8C8D57EA67C7}"/>
</file>

<file path=customXml/itemProps3.xml><?xml version="1.0" encoding="utf-8"?>
<ds:datastoreItem xmlns:ds="http://schemas.openxmlformats.org/officeDocument/2006/customXml" ds:itemID="{00360CBE-F9D4-4840-B01F-B579AF34A4EB}"/>
</file>

<file path=customXml/itemProps4.xml><?xml version="1.0" encoding="utf-8"?>
<ds:datastoreItem xmlns:ds="http://schemas.openxmlformats.org/officeDocument/2006/customXml" ds:itemID="{7625BF03-9662-4497-9A87-8646E78CE592}"/>
</file>

<file path=docProps/app.xml><?xml version="1.0" encoding="utf-8"?>
<Properties xmlns="http://schemas.openxmlformats.org/officeDocument/2006/extended-properties" xmlns:vt="http://schemas.openxmlformats.org/officeDocument/2006/docPropsVTypes">
  <Template>ActionAgenda1304.dotx</Template>
  <TotalTime>1</TotalTime>
  <Pages>4</Pages>
  <Words>1527</Words>
  <Characters>8710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ISMP Medication Safety Alert</vt:lpstr>
    </vt:vector>
  </TitlesOfParts>
  <Company>ISMP</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ISMP Medication Safety Alert</dc:title>
  <dc:creator>bob</dc:creator>
  <cp:lastModifiedBy>Ann Shastay</cp:lastModifiedBy>
  <cp:revision>2</cp:revision>
  <cp:lastPrinted>2006-07-27T04:12:00Z</cp:lastPrinted>
  <dcterms:created xsi:type="dcterms:W3CDTF">2017-04-06T02:02:00Z</dcterms:created>
  <dcterms:modified xsi:type="dcterms:W3CDTF">2017-04-06T02:02:00Z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0x0101009669FA9011CB4241BCE9FB143DFC7D87</vt:lpwstr>
  </property>
</Properties>
</file>