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357578261"/>
    <w:bookmarkStart w:id="1" w:name="_MON_1231182667"/>
    <w:bookmarkStart w:id="2" w:name="_MON_1231182695"/>
    <w:bookmarkStart w:id="3" w:name="_MON_1231182702"/>
    <w:bookmarkStart w:id="4" w:name="_MON_1231182722"/>
    <w:bookmarkStart w:id="5" w:name="_MON_1231182944"/>
    <w:bookmarkStart w:id="6" w:name="_MON_1231183012"/>
    <w:bookmarkStart w:id="7" w:name="_MON_1231184836"/>
    <w:bookmarkStart w:id="8" w:name="_MON_1231184913"/>
    <w:bookmarkStart w:id="9" w:name="_MON_1238434392"/>
    <w:bookmarkStart w:id="10" w:name="_MON_1238434662"/>
    <w:bookmarkStart w:id="11" w:name="_MON_1252867714"/>
    <w:bookmarkStart w:id="12" w:name="_MON_1301937154"/>
    <w:bookmarkStart w:id="13" w:name="_MON_1301937233"/>
    <w:bookmarkStart w:id="14" w:name="_MON_1301937332"/>
    <w:bookmarkStart w:id="15" w:name="_MON_1301937386"/>
    <w:bookmarkStart w:id="16" w:name="_MON_13019374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301938247"/>
    <w:bookmarkEnd w:id="17"/>
    <w:p w14:paraId="0B990B5A" w14:textId="685A58F6" w:rsidR="00A5481A" w:rsidRPr="007A312A" w:rsidRDefault="00F1041D" w:rsidP="00E325CF">
      <w:pPr>
        <w:ind w:left="-360" w:right="-180"/>
      </w:pPr>
      <w:r w:rsidRPr="007A312A">
        <w:object w:dxaOrig="14595" w:dyaOrig="1860" w14:anchorId="11A79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pt;height:93pt" o:ole="">
            <v:imagedata r:id="rId8" o:title=""/>
          </v:shape>
          <o:OLEObject Type="Embed" ProgID="Word.Document.8" ShapeID="_x0000_i1025" DrawAspect="Content" ObjectID="_1673325374" r:id="rId9">
            <o:FieldCodes>\s</o:FieldCodes>
          </o:OLEObject>
        </w:objec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452"/>
        <w:gridCol w:w="3591"/>
        <w:gridCol w:w="2340"/>
        <w:gridCol w:w="2610"/>
        <w:gridCol w:w="1963"/>
      </w:tblGrid>
      <w:tr w:rsidR="00BA340E" w:rsidRPr="009D60F3" w14:paraId="303304E2" w14:textId="77777777" w:rsidTr="00E9671A">
        <w:trPr>
          <w:tblHeade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09552044" w14:textId="77777777" w:rsidR="00BB0667" w:rsidRPr="009D60F3" w:rsidRDefault="00BB0667" w:rsidP="00EA5B96">
            <w:pPr>
              <w:pStyle w:val="StyleAC-table-hed85ptWhiteCentered"/>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No.</w:t>
            </w:r>
          </w:p>
        </w:tc>
        <w:tc>
          <w:tcPr>
            <w:tcW w:w="3452"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21C37665" w14:textId="77777777" w:rsidR="00BB0667" w:rsidRPr="009D60F3" w:rsidRDefault="00BB0667" w:rsidP="00EA5B96">
            <w:pPr>
              <w:pStyle w:val="AC-table-hed"/>
              <w:tabs>
                <w:tab w:val="clear" w:pos="5735"/>
                <w:tab w:val="clear" w:pos="7906"/>
                <w:tab w:val="clear" w:pos="10080"/>
              </w:tabs>
              <w:jc w:val="center"/>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Problem</w:t>
            </w:r>
          </w:p>
        </w:tc>
        <w:tc>
          <w:tcPr>
            <w:tcW w:w="3591"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62A1C22D" w14:textId="77777777" w:rsidR="00BB0667" w:rsidRPr="009D60F3" w:rsidRDefault="00BB0667" w:rsidP="00EA5B96">
            <w:pPr>
              <w:pStyle w:val="AC-table-hed"/>
              <w:tabs>
                <w:tab w:val="clear" w:pos="5735"/>
                <w:tab w:val="clear" w:pos="7906"/>
                <w:tab w:val="clear" w:pos="10080"/>
              </w:tabs>
              <w:jc w:val="center"/>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Recommendation</w:t>
            </w:r>
          </w:p>
        </w:tc>
        <w:tc>
          <w:tcPr>
            <w:tcW w:w="234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72A32F1B" w14:textId="77777777" w:rsidR="00BB0667" w:rsidRPr="009D60F3" w:rsidRDefault="00BB0667" w:rsidP="00EA5B96">
            <w:pPr>
              <w:pStyle w:val="AC-table-hed"/>
              <w:tabs>
                <w:tab w:val="clear" w:pos="5735"/>
                <w:tab w:val="clear" w:pos="7906"/>
                <w:tab w:val="clear" w:pos="10080"/>
              </w:tabs>
              <w:jc w:val="center"/>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Organization Assessment</w:t>
            </w:r>
          </w:p>
        </w:tc>
        <w:tc>
          <w:tcPr>
            <w:tcW w:w="2610" w:type="dxa"/>
            <w:tcBorders>
              <w:top w:val="single" w:sz="4" w:space="0" w:color="FF0000"/>
              <w:left w:val="single" w:sz="4" w:space="0" w:color="FF0000"/>
              <w:bottom w:val="single" w:sz="4" w:space="0" w:color="FF0000"/>
              <w:right w:val="single" w:sz="4" w:space="0" w:color="FF0000"/>
            </w:tcBorders>
            <w:shd w:val="clear" w:color="auto" w:fill="D60030"/>
          </w:tcPr>
          <w:p w14:paraId="79531B30" w14:textId="77777777" w:rsidR="00BB0667" w:rsidRPr="009D60F3" w:rsidRDefault="00BB0667" w:rsidP="008C5601">
            <w:pPr>
              <w:pStyle w:val="AC-table-hed"/>
              <w:tabs>
                <w:tab w:val="clear" w:pos="5735"/>
                <w:tab w:val="clear" w:pos="7906"/>
                <w:tab w:val="clear" w:pos="10080"/>
              </w:tabs>
              <w:jc w:val="center"/>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Action Required/</w:t>
            </w:r>
            <w:r w:rsidR="008219D3" w:rsidRPr="009D60F3">
              <w:rPr>
                <w:rFonts w:asciiTheme="minorHAnsi" w:hAnsiTheme="minorHAnsi"/>
                <w:b/>
                <w:bCs/>
                <w:color w:val="FFFFFF" w:themeColor="background1"/>
                <w:sz w:val="18"/>
                <w:szCs w:val="18"/>
              </w:rPr>
              <w:t xml:space="preserve"> </w:t>
            </w:r>
            <w:r w:rsidRPr="009D60F3">
              <w:rPr>
                <w:rFonts w:asciiTheme="minorHAnsi" w:hAnsiTheme="minorHAnsi"/>
                <w:b/>
                <w:bCs/>
                <w:color w:val="FFFFFF" w:themeColor="background1"/>
                <w:sz w:val="18"/>
                <w:szCs w:val="18"/>
              </w:rPr>
              <w:t>Assignment</w:t>
            </w:r>
          </w:p>
        </w:tc>
        <w:tc>
          <w:tcPr>
            <w:tcW w:w="1963" w:type="dxa"/>
            <w:tcBorders>
              <w:top w:val="single" w:sz="4" w:space="0" w:color="FF0000"/>
              <w:left w:val="single" w:sz="4" w:space="0" w:color="FF0000"/>
              <w:bottom w:val="single" w:sz="4" w:space="0" w:color="FF0000"/>
              <w:right w:val="single" w:sz="4" w:space="0" w:color="FF0000"/>
            </w:tcBorders>
            <w:shd w:val="clear" w:color="auto" w:fill="960022"/>
          </w:tcPr>
          <w:p w14:paraId="0446EE5C" w14:textId="77777777" w:rsidR="00BB0667" w:rsidRPr="009D60F3" w:rsidRDefault="00BB0667" w:rsidP="008C5601">
            <w:pPr>
              <w:pStyle w:val="AC-table-hed"/>
              <w:tabs>
                <w:tab w:val="clear" w:pos="5735"/>
                <w:tab w:val="clear" w:pos="7906"/>
                <w:tab w:val="clear" w:pos="10080"/>
              </w:tabs>
              <w:jc w:val="center"/>
              <w:rPr>
                <w:rFonts w:asciiTheme="minorHAnsi" w:hAnsiTheme="minorHAnsi"/>
                <w:b/>
                <w:bCs/>
                <w:color w:val="FFFFFF" w:themeColor="background1"/>
                <w:sz w:val="18"/>
                <w:szCs w:val="18"/>
              </w:rPr>
            </w:pPr>
            <w:r w:rsidRPr="009D60F3">
              <w:rPr>
                <w:rFonts w:asciiTheme="minorHAnsi" w:hAnsiTheme="minorHAnsi"/>
                <w:b/>
                <w:bCs/>
                <w:color w:val="FFFFFF" w:themeColor="background1"/>
                <w:sz w:val="18"/>
                <w:szCs w:val="18"/>
              </w:rPr>
              <w:t>Date Completed</w:t>
            </w:r>
          </w:p>
        </w:tc>
      </w:tr>
      <w:tr w:rsidR="00C955F7" w:rsidRPr="009D60F3" w14:paraId="64C65738"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304F1431" w14:textId="2F01FAEE" w:rsidR="00C955F7" w:rsidRPr="009D60F3" w:rsidRDefault="00C955F7" w:rsidP="00B54A35">
            <w:pPr>
              <w:pStyle w:val="Agenda-table-head"/>
            </w:pPr>
            <w:r w:rsidRPr="009D60F3">
              <w:t>Confusion regarding strength listed on Fresenius Kabi oxytocin vials</w:t>
            </w:r>
          </w:p>
        </w:tc>
      </w:tr>
      <w:tr w:rsidR="00C955F7" w:rsidRPr="009D60F3" w14:paraId="60CCAEA5"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80CDAC2" w14:textId="02C9DB16" w:rsidR="00C955F7" w:rsidRPr="009D60F3" w:rsidRDefault="00C955F7" w:rsidP="00C955F7">
            <w:pPr>
              <w:pStyle w:val="AGENDA-body"/>
              <w:rPr>
                <w:rFonts w:asciiTheme="minorHAnsi" w:hAnsiTheme="minorHAnsi"/>
              </w:rPr>
            </w:pPr>
            <w:r w:rsidRPr="009D60F3">
              <w:rPr>
                <w:rFonts w:asciiTheme="minorHAnsi" w:hAnsiTheme="minorHAnsi"/>
              </w:rPr>
              <w:t>(</w:t>
            </w:r>
            <w:r w:rsidR="007638F8" w:rsidRPr="009D60F3">
              <w:rPr>
                <w:rFonts w:asciiTheme="minorHAnsi" w:hAnsiTheme="minorHAnsi"/>
              </w:rPr>
              <w:t>22</w:t>
            </w:r>
            <w:r w:rsidRPr="009D60F3">
              <w:rPr>
                <w:rFonts w:asciiTheme="minorHAnsi" w:hAnsiTheme="minorHAnsi"/>
              </w:rPr>
              <w:t xml:space="preserve">) </w:t>
            </w:r>
          </w:p>
          <w:p w14:paraId="10310F09" w14:textId="77777777"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noProof/>
              </w:rPr>
              <w:drawing>
                <wp:inline distT="0" distB="0" distL="0" distR="0" wp14:anchorId="6681F421" wp14:editId="227F81AA">
                  <wp:extent cx="152387" cy="1219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451A757B" w14:textId="3FB194EA"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Ten-fold dosing errors occurred in the pharmacy when oxytocin 10 mL vials were used instead of 1 mL vials. The 10</w:t>
            </w:r>
            <w:r w:rsidRPr="009D60F3">
              <w:rPr>
                <w:rFonts w:asciiTheme="minorHAnsi" w:hAnsiTheme="minorHAnsi" w:cs="Arial"/>
              </w:rPr>
              <w:t> </w:t>
            </w:r>
            <w:r w:rsidRPr="009D60F3">
              <w:rPr>
                <w:rFonts w:asciiTheme="minorHAnsi" w:hAnsiTheme="minorHAnsi"/>
              </w:rPr>
              <w:t xml:space="preserve">mL vial label prominently lists the amount per mL (10 units/mL), with the total volume near the bottom of the label, causing staff to think the 10 mL vial only contained 10 units. Barcode scanning did not warn staff about the error.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3CA121AB" w14:textId="3A174C89" w:rsidR="00C955F7"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Fresenius Kabi is updating the labels to express the total amount of drug per total volume as the primary designation. For now, ensure oxytocin vial (and premixed infusion) labels clearly note the amount of drug per total volume. Review an earlier 2020 article (</w:t>
            </w:r>
            <w:hyperlink r:id="rId11" w:history="1">
              <w:r w:rsidRPr="009D60F3">
                <w:rPr>
                  <w:rStyle w:val="Hyperlink"/>
                  <w:rFonts w:asciiTheme="minorHAnsi" w:hAnsiTheme="minorHAnsi"/>
                </w:rPr>
                <w:t>www.ismp.org/node/14240</w:t>
              </w:r>
            </w:hyperlink>
            <w:r w:rsidRPr="009D60F3">
              <w:rPr>
                <w:rFonts w:asciiTheme="minorHAnsi" w:hAnsiTheme="minorHAnsi"/>
              </w:rPr>
              <w:t xml:space="preserve">) for additional recommendations when using oxytocin. </w:t>
            </w:r>
          </w:p>
          <w:p w14:paraId="2319C5C7" w14:textId="4F8857E7" w:rsidR="00F1041D" w:rsidRPr="009D60F3" w:rsidRDefault="00F1041D" w:rsidP="00C955F7">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2EC531D2"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5E15068D"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67A93114" w14:textId="77777777" w:rsidR="00C955F7" w:rsidRPr="009D60F3" w:rsidRDefault="00C955F7" w:rsidP="00C955F7">
            <w:pPr>
              <w:pStyle w:val="AC-table-body"/>
              <w:tabs>
                <w:tab w:val="clear" w:pos="5735"/>
                <w:tab w:val="clear" w:pos="7906"/>
                <w:tab w:val="clear" w:pos="10080"/>
              </w:tabs>
              <w:rPr>
                <w:rFonts w:asciiTheme="minorHAnsi" w:hAnsiTheme="minorHAnsi"/>
              </w:rPr>
            </w:pPr>
          </w:p>
        </w:tc>
      </w:tr>
      <w:tr w:rsidR="00C955F7" w:rsidRPr="009D60F3" w14:paraId="7DA50E9B"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2754DCBD" w14:textId="476FB5FD" w:rsidR="00C955F7" w:rsidRPr="009D60F3" w:rsidRDefault="00C955F7" w:rsidP="00B54A35">
            <w:pPr>
              <w:pStyle w:val="Agenda-table-head"/>
            </w:pPr>
            <w:r w:rsidRPr="009D60F3">
              <w:t xml:space="preserve">Prevent </w:t>
            </w:r>
            <w:r w:rsidRPr="009D60F3">
              <w:rPr>
                <w:i/>
              </w:rPr>
              <w:t>shoulder injury related to vaccine administration</w:t>
            </w:r>
            <w:r w:rsidRPr="009D60F3">
              <w:t xml:space="preserve"> (SIRVA) when administering the coronavirus disease 2019 (COVID-19) vaccines</w:t>
            </w:r>
          </w:p>
        </w:tc>
      </w:tr>
      <w:tr w:rsidR="00C955F7" w:rsidRPr="009D60F3" w14:paraId="37C20BDF"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02E493E" w14:textId="2C73B940"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(25)</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4ABCAFF5" w14:textId="6E9696BA"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spacing w:val="-7"/>
              </w:rPr>
              <w:t>SIRVA presents as persistent shoulder pain, weakness, and limited range of motion within hours to days after administration of an intramuscular (IM) vaccine into the shoulder capsule instead of the deltoid muscle. This condition is preventable, given healthcare providers follow proper IM vaccine administration technique.</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208954D6" w14:textId="77777777" w:rsidR="00C955F7" w:rsidRDefault="00C955F7" w:rsidP="00C955F7">
            <w:pPr>
              <w:pStyle w:val="AGENDA-body"/>
              <w:tabs>
                <w:tab w:val="clear" w:pos="5735"/>
                <w:tab w:val="clear" w:pos="7906"/>
                <w:tab w:val="clear" w:pos="10080"/>
              </w:tabs>
              <w:rPr>
                <w:rFonts w:asciiTheme="minorHAnsi" w:hAnsiTheme="minorHAnsi"/>
                <w:spacing w:val="-7"/>
              </w:rPr>
            </w:pPr>
            <w:r w:rsidRPr="009D60F3">
              <w:rPr>
                <w:rFonts w:asciiTheme="minorHAnsi" w:hAnsiTheme="minorHAnsi"/>
                <w:spacing w:val="-7"/>
              </w:rPr>
              <w:t xml:space="preserve">When administering IM vaccinations in the deltoid muscle, expose the upper arm/shoulder area, measure 2 to 3 finger widths from the acromion process (bony prominence above the deltoid), and locate the armpit as the lower border. </w:t>
            </w:r>
            <w:r w:rsidRPr="009D60F3">
              <w:rPr>
                <w:rFonts w:asciiTheme="minorHAnsi" w:hAnsiTheme="minorHAnsi"/>
              </w:rPr>
              <w:t xml:space="preserve">Use the thumb and forefinger to make a V outlining the deltoid muscle before </w:t>
            </w:r>
            <w:r w:rsidRPr="009D60F3">
              <w:rPr>
                <w:rFonts w:asciiTheme="minorHAnsi" w:hAnsiTheme="minorHAnsi"/>
                <w:spacing w:val="-7"/>
              </w:rPr>
              <w:t xml:space="preserve">injecting the needle at a 90-degree angle. </w:t>
            </w:r>
          </w:p>
          <w:p w14:paraId="43B71B14" w14:textId="0E8507CF" w:rsidR="00F1041D" w:rsidRPr="009D60F3" w:rsidRDefault="00F1041D" w:rsidP="00C955F7">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62969645"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460FC443"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65E90718" w14:textId="77777777" w:rsidR="00C955F7" w:rsidRPr="009D60F3" w:rsidRDefault="00C955F7" w:rsidP="00C955F7">
            <w:pPr>
              <w:pStyle w:val="AC-table-body"/>
              <w:tabs>
                <w:tab w:val="clear" w:pos="5735"/>
                <w:tab w:val="clear" w:pos="7906"/>
                <w:tab w:val="clear" w:pos="10080"/>
              </w:tabs>
              <w:rPr>
                <w:rFonts w:asciiTheme="minorHAnsi" w:hAnsiTheme="minorHAnsi"/>
              </w:rPr>
            </w:pPr>
          </w:p>
        </w:tc>
      </w:tr>
      <w:tr w:rsidR="00C955F7" w:rsidRPr="009D60F3" w14:paraId="14913645"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2A4E2FEC" w14:textId="73E337F3" w:rsidR="00C955F7" w:rsidRPr="00B54A35" w:rsidRDefault="00C955F7" w:rsidP="00B54A35">
            <w:pPr>
              <w:pStyle w:val="Agenda-table-head"/>
            </w:pPr>
            <w:r w:rsidRPr="00B54A35">
              <w:t>Mandatory error reporting for drugs granted Emergency Use Authorization (EUA) from the US Food and Drug Administration (FDA)</w:t>
            </w:r>
          </w:p>
        </w:tc>
      </w:tr>
      <w:tr w:rsidR="00C955F7" w:rsidRPr="009D60F3" w14:paraId="64202F67" w14:textId="77777777" w:rsidTr="00C80C6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61988ED" w14:textId="4858ABA0" w:rsidR="00C955F7" w:rsidRPr="009D60F3" w:rsidRDefault="00C955F7" w:rsidP="00C955F7">
            <w:pPr>
              <w:pStyle w:val="AGENDA-body"/>
              <w:rPr>
                <w:rFonts w:asciiTheme="minorHAnsi" w:hAnsiTheme="minorHAnsi"/>
              </w:rPr>
            </w:pPr>
            <w:r w:rsidRPr="009D60F3">
              <w:rPr>
                <w:rFonts w:asciiTheme="minorHAnsi" w:hAnsiTheme="minorHAnsi"/>
              </w:rPr>
              <w:t> (25)</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2A2953EA" w14:textId="77777777" w:rsidR="00C955F7"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 xml:space="preserve">Drugs and biologics used under an EUA (including COVID-19 vaccines) are not officially approved for use in the US by FDA but instead are temporarily authorized for use during a crisis. Thus, FDA requires mandatory reporting of adverse events, including errors, within a specified time period for all EUA drugs and biologics.  </w:t>
            </w:r>
          </w:p>
          <w:p w14:paraId="1CA6A186" w14:textId="6D13C2E9" w:rsidR="00F1041D" w:rsidRPr="009D60F3" w:rsidRDefault="00F1041D" w:rsidP="00C955F7">
            <w:pPr>
              <w:pStyle w:val="AGENDA-body"/>
              <w:tabs>
                <w:tab w:val="clear" w:pos="5735"/>
                <w:tab w:val="clear" w:pos="7906"/>
                <w:tab w:val="clear" w:pos="10080"/>
              </w:tabs>
              <w:rPr>
                <w:rFonts w:asciiTheme="minorHAnsi" w:hAnsiTheme="minorHAnsi"/>
              </w:rPr>
            </w:pP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3F8F58B6" w14:textId="46FB6853"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spacing w:val="-3"/>
              </w:rPr>
              <w:t xml:space="preserve">Refer to the </w:t>
            </w:r>
            <w:r w:rsidRPr="009D60F3">
              <w:rPr>
                <w:rFonts w:asciiTheme="minorHAnsi" w:hAnsiTheme="minorHAnsi"/>
                <w:i/>
                <w:spacing w:val="-3"/>
              </w:rPr>
              <w:t>Fact Sheet</w:t>
            </w:r>
            <w:r w:rsidRPr="009D60F3">
              <w:rPr>
                <w:rFonts w:asciiTheme="minorHAnsi" w:hAnsiTheme="minorHAnsi"/>
                <w:spacing w:val="-3"/>
              </w:rPr>
              <w:t xml:space="preserve"> to determine </w:t>
            </w:r>
            <w:r w:rsidRPr="009D60F3">
              <w:rPr>
                <w:rFonts w:asciiTheme="minorHAnsi" w:hAnsiTheme="minorHAnsi"/>
              </w:rPr>
              <w:t>the process and timeline for reporting adverse events and/or errors, as requirements may differ depending on the drug or biologic. Also, continue to report errors with these drugs or biologics, including vaccines, to ISMP; however, this does not replace the need for mandatory reporting to FDA.</w:t>
            </w:r>
          </w:p>
        </w:tc>
        <w:tc>
          <w:tcPr>
            <w:tcW w:w="2340" w:type="dxa"/>
            <w:tcBorders>
              <w:top w:val="single" w:sz="4" w:space="0" w:color="FF0000"/>
              <w:left w:val="single" w:sz="4" w:space="0" w:color="FF0000"/>
              <w:bottom w:val="single" w:sz="4" w:space="0" w:color="FF0000"/>
              <w:right w:val="single" w:sz="4" w:space="0" w:color="FF0000"/>
            </w:tcBorders>
          </w:tcPr>
          <w:p w14:paraId="794B1F72"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520256BE"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3EC69A74" w14:textId="77777777" w:rsidR="00C955F7" w:rsidRPr="009D60F3" w:rsidRDefault="00C955F7" w:rsidP="00C955F7">
            <w:pPr>
              <w:pStyle w:val="AC-table-body"/>
              <w:tabs>
                <w:tab w:val="clear" w:pos="5735"/>
                <w:tab w:val="clear" w:pos="7906"/>
                <w:tab w:val="clear" w:pos="10080"/>
              </w:tabs>
              <w:rPr>
                <w:rFonts w:asciiTheme="minorHAnsi" w:hAnsiTheme="minorHAnsi"/>
              </w:rPr>
            </w:pPr>
          </w:p>
        </w:tc>
      </w:tr>
      <w:tr w:rsidR="00C955F7" w:rsidRPr="009D60F3" w14:paraId="1989D1E0"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1C76566" w14:textId="5E61BE43" w:rsidR="00C955F7" w:rsidRPr="009D60F3" w:rsidRDefault="00C955F7" w:rsidP="00B54A35">
            <w:pPr>
              <w:pStyle w:val="Agenda-table-head"/>
            </w:pPr>
            <w:r w:rsidRPr="009D60F3">
              <w:lastRenderedPageBreak/>
              <w:t>Learn from influenza (flu) vaccine errors to prepare for coronavirus disease 2019 (COVID-19) vaccine campaigns</w:t>
            </w:r>
          </w:p>
        </w:tc>
      </w:tr>
      <w:tr w:rsidR="00C955F7" w:rsidRPr="009D60F3" w14:paraId="2F7AFD45"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57452D5B" w14:textId="4D173C3E"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(23)</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5C9FD16F" w14:textId="7B174401" w:rsidR="00C955F7" w:rsidRDefault="00C955F7" w:rsidP="00C955F7">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 xml:space="preserve">Analysis of recent flu vaccine errors can be used to prepare for COVID-19 vaccine campaigns. Risk factors include look-alike vaccine names, labels, and pack-aging; unsegregated refrigerator/freezer storage; mixing/dilution errors; communication barriers; not checking/documenting administration in the immunization information system (IIS); inability to use technologies during mass immunizations; and temperature excursions. </w:t>
            </w:r>
          </w:p>
          <w:p w14:paraId="5D968397" w14:textId="77777777" w:rsidR="00F1041D" w:rsidRDefault="00F1041D" w:rsidP="00C955F7">
            <w:pPr>
              <w:pStyle w:val="AGENDA-body"/>
              <w:tabs>
                <w:tab w:val="clear" w:pos="5735"/>
                <w:tab w:val="clear" w:pos="7906"/>
                <w:tab w:val="clear" w:pos="10080"/>
              </w:tabs>
              <w:rPr>
                <w:rFonts w:asciiTheme="minorHAnsi" w:hAnsiTheme="minorHAnsi"/>
              </w:rPr>
            </w:pPr>
          </w:p>
          <w:p w14:paraId="13E9D1A1" w14:textId="6E2D5EB0" w:rsidR="00F1041D" w:rsidRPr="009D60F3" w:rsidRDefault="00F1041D" w:rsidP="00C955F7">
            <w:pPr>
              <w:pStyle w:val="AGENDA-body"/>
              <w:tabs>
                <w:tab w:val="clear" w:pos="5735"/>
                <w:tab w:val="clear" w:pos="7906"/>
                <w:tab w:val="clear" w:pos="10080"/>
              </w:tabs>
              <w:rPr>
                <w:rFonts w:asciiTheme="minorHAnsi" w:hAnsiTheme="minorHAnsi"/>
              </w:rPr>
            </w:pP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0C1BD19A" w14:textId="4698E428"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When planning vaccine campaigns, consider infection control measures, optimal staffing patterns, anticipated language barriers, and storage for cold chain requirements. Before vaccination, screen patients for contraindications and precautions, verify prior vaccinations, and provide patients with a </w:t>
            </w:r>
            <w:r w:rsidRPr="009D60F3">
              <w:rPr>
                <w:rFonts w:asciiTheme="minorHAnsi" w:hAnsiTheme="minorHAnsi"/>
                <w:i/>
                <w:spacing w:val="-8"/>
              </w:rPr>
              <w:t xml:space="preserve">Fact Sheet. </w:t>
            </w:r>
            <w:r w:rsidRPr="009D60F3">
              <w:rPr>
                <w:rFonts w:asciiTheme="minorHAnsi" w:hAnsiTheme="minorHAnsi"/>
                <w:spacing w:val="-8"/>
              </w:rPr>
              <w:t xml:space="preserve">Establish best practices for vaccine preparation, administration, and documentation, and treatment of adverse reactions.  </w:t>
            </w:r>
            <w:r w:rsidRPr="009D60F3">
              <w:rPr>
                <w:rFonts w:asciiTheme="minorHAnsi" w:hAnsiTheme="minorHAnsi"/>
              </w:rPr>
              <w:t xml:space="preserve"> </w:t>
            </w:r>
          </w:p>
        </w:tc>
        <w:tc>
          <w:tcPr>
            <w:tcW w:w="2340" w:type="dxa"/>
            <w:tcBorders>
              <w:top w:val="single" w:sz="4" w:space="0" w:color="FF0000"/>
              <w:left w:val="single" w:sz="4" w:space="0" w:color="FF0000"/>
              <w:bottom w:val="single" w:sz="4" w:space="0" w:color="FF0000"/>
              <w:right w:val="single" w:sz="4" w:space="0" w:color="FF0000"/>
            </w:tcBorders>
          </w:tcPr>
          <w:p w14:paraId="2244B8B2"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416E3D89"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3D3B8570" w14:textId="77777777" w:rsidR="00C955F7" w:rsidRPr="009D60F3" w:rsidRDefault="00C955F7" w:rsidP="00C955F7">
            <w:pPr>
              <w:pStyle w:val="AC-table-body"/>
              <w:tabs>
                <w:tab w:val="clear" w:pos="5735"/>
                <w:tab w:val="clear" w:pos="7906"/>
                <w:tab w:val="clear" w:pos="10080"/>
              </w:tabs>
              <w:rPr>
                <w:rFonts w:asciiTheme="minorHAnsi" w:hAnsiTheme="minorHAnsi"/>
              </w:rPr>
            </w:pPr>
          </w:p>
        </w:tc>
      </w:tr>
      <w:tr w:rsidR="00C955F7" w:rsidRPr="009D60F3" w14:paraId="37A332A8"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C5302E8" w14:textId="6E6C78FC" w:rsidR="00C955F7" w:rsidRPr="009D60F3" w:rsidRDefault="00C955F7" w:rsidP="00B54A35">
            <w:pPr>
              <w:pStyle w:val="Agenda-table-head"/>
            </w:pPr>
            <w:r w:rsidRPr="009D60F3">
              <w:t>ISMP survey shows safety gaps in pharmacy compounded sterile preparation (CSP) systems and practices</w:t>
            </w:r>
          </w:p>
        </w:tc>
      </w:tr>
      <w:tr w:rsidR="00C955F7" w:rsidRPr="009D60F3" w14:paraId="3E6A3B66"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ADB2F9A" w14:textId="5EA41DC1"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rPr>
              <w:t>(21)</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7EA81782" w14:textId="279C0799" w:rsidR="00C955F7"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Our survey on pharmacy CSPs identified the most common challenges, including lack of direct verification of the CSP process, difficulty meeting USP standards, and insufficient staff training and competency. Only half of respondents found it easy to identify which drugs, diluents, and volumes were used when verifying CSPs, citing limitations in technology and the syringe pull-back method of verification. Nearly three-quarters were aware of at least one </w:t>
            </w:r>
            <w:r w:rsidRPr="009D60F3">
              <w:rPr>
                <w:rFonts w:asciiTheme="minorHAnsi" w:hAnsiTheme="minorHAnsi"/>
              </w:rPr>
              <w:t xml:space="preserve">pharmacy CSP error in the past year.  </w:t>
            </w:r>
          </w:p>
          <w:p w14:paraId="15BDCEE3" w14:textId="7A3281BD" w:rsidR="00F1041D" w:rsidRPr="009D60F3" w:rsidRDefault="00F1041D" w:rsidP="00C955F7">
            <w:pPr>
              <w:pStyle w:val="AGENDA-body"/>
              <w:tabs>
                <w:tab w:val="clear" w:pos="5735"/>
                <w:tab w:val="clear" w:pos="7906"/>
                <w:tab w:val="clear" w:pos="10080"/>
              </w:tabs>
              <w:rPr>
                <w:rFonts w:asciiTheme="minorHAnsi" w:hAnsiTheme="minorHAnsi"/>
              </w:rPr>
            </w:pP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2DB686D3" w14:textId="08FEA1C0" w:rsidR="00C955F7" w:rsidRPr="009D60F3" w:rsidRDefault="00C955F7" w:rsidP="00C955F7">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Use the results of this survey to prompt internal discussions about improvements that may be needed in sterile compounding practices to reduce the risk of errors in your organization. If your pharmacy did not participate in this survey, you can download it at </w:t>
            </w:r>
            <w:r w:rsidRPr="009D60F3">
              <w:rPr>
                <w:rFonts w:asciiTheme="minorHAnsi" w:hAnsiTheme="minorHAnsi"/>
                <w:color w:val="0000FF"/>
                <w:spacing w:val="-8"/>
                <w:u w:val="single"/>
              </w:rPr>
              <w:t>www.ismp.org/ext/568</w:t>
            </w:r>
            <w:r w:rsidRPr="009D60F3">
              <w:rPr>
                <w:rFonts w:asciiTheme="minorHAnsi" w:hAnsiTheme="minorHAnsi"/>
                <w:spacing w:val="-8"/>
              </w:rPr>
              <w:t>, distribute it internally, take the survey, and review the results to pinpoint your vulnerabilities and establish a plan for improve</w:t>
            </w:r>
            <w:r w:rsidRPr="009D60F3">
              <w:rPr>
                <w:rFonts w:asciiTheme="minorHAnsi" w:hAnsiTheme="minorHAnsi"/>
              </w:rPr>
              <w:t>ment.</w:t>
            </w:r>
          </w:p>
        </w:tc>
        <w:tc>
          <w:tcPr>
            <w:tcW w:w="2340" w:type="dxa"/>
            <w:tcBorders>
              <w:top w:val="single" w:sz="4" w:space="0" w:color="FF0000"/>
              <w:left w:val="single" w:sz="4" w:space="0" w:color="FF0000"/>
              <w:bottom w:val="single" w:sz="4" w:space="0" w:color="FF0000"/>
              <w:right w:val="single" w:sz="4" w:space="0" w:color="FF0000"/>
            </w:tcBorders>
          </w:tcPr>
          <w:p w14:paraId="4E5F1482"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30A2A07C" w14:textId="77777777" w:rsidR="00C955F7" w:rsidRPr="009D60F3" w:rsidRDefault="00C955F7" w:rsidP="00C955F7">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69F3860B" w14:textId="77777777" w:rsidR="00C955F7" w:rsidRPr="009D60F3" w:rsidRDefault="00C955F7" w:rsidP="00C955F7">
            <w:pPr>
              <w:pStyle w:val="AC-table-body"/>
              <w:tabs>
                <w:tab w:val="clear" w:pos="5735"/>
                <w:tab w:val="clear" w:pos="7906"/>
                <w:tab w:val="clear" w:pos="10080"/>
              </w:tabs>
              <w:rPr>
                <w:rFonts w:asciiTheme="minorHAnsi" w:hAnsiTheme="minorHAnsi"/>
              </w:rPr>
            </w:pPr>
          </w:p>
        </w:tc>
      </w:tr>
      <w:tr w:rsidR="00441A09" w:rsidRPr="009D60F3" w14:paraId="137C661C"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C758502" w14:textId="237FD5DA" w:rsidR="00441A09" w:rsidRPr="009D60F3" w:rsidRDefault="00441A09" w:rsidP="00B54A35">
            <w:pPr>
              <w:pStyle w:val="Agenda-table-head"/>
            </w:pPr>
            <w:r w:rsidRPr="009D60F3">
              <w:t xml:space="preserve">ISMP survey provides insights into preparation and admixture practices </w:t>
            </w:r>
            <w:r w:rsidRPr="009D60F3">
              <w:rPr>
                <w:caps/>
              </w:rPr>
              <w:t>outside</w:t>
            </w:r>
            <w:r w:rsidRPr="009D60F3">
              <w:t xml:space="preserve"> the pharmacy</w:t>
            </w:r>
            <w:r w:rsidRPr="009D60F3">
              <w:rPr>
                <w:rFonts w:eastAsia="Adobe Arabic" w:cs="Adobe Arabic"/>
                <w:spacing w:val="0"/>
                <w:w w:val="100"/>
                <w:sz w:val="24"/>
              </w:rPr>
              <w:t xml:space="preserve"> </w:t>
            </w:r>
          </w:p>
        </w:tc>
      </w:tr>
      <w:tr w:rsidR="00441A09" w:rsidRPr="009D60F3" w14:paraId="0C475839"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666057C" w14:textId="0583A966" w:rsidR="00441A09" w:rsidRPr="009D60F3" w:rsidRDefault="00441A09" w:rsidP="00441A09">
            <w:pPr>
              <w:pStyle w:val="AGENDA-body"/>
              <w:tabs>
                <w:tab w:val="clear" w:pos="5735"/>
                <w:tab w:val="clear" w:pos="7906"/>
                <w:tab w:val="clear" w:pos="10080"/>
              </w:tabs>
              <w:rPr>
                <w:rFonts w:asciiTheme="minorHAnsi" w:hAnsiTheme="minorHAnsi"/>
              </w:rPr>
            </w:pPr>
            <w:r w:rsidRPr="009D60F3">
              <w:rPr>
                <w:rFonts w:asciiTheme="minorHAnsi" w:hAnsiTheme="minorHAnsi"/>
              </w:rPr>
              <w:t>(22)</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32ED1A33" w14:textId="270668BA" w:rsidR="00441A09" w:rsidRPr="009D60F3" w:rsidRDefault="00441A09" w:rsidP="00441A09">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Our survey on admixture practices </w:t>
            </w:r>
            <w:r w:rsidRPr="009D60F3">
              <w:rPr>
                <w:rFonts w:asciiTheme="minorHAnsi" w:hAnsiTheme="minorHAnsi"/>
                <w:caps/>
                <w:spacing w:val="-8"/>
              </w:rPr>
              <w:t xml:space="preserve">outside </w:t>
            </w:r>
            <w:r w:rsidRPr="009D60F3">
              <w:rPr>
                <w:rFonts w:asciiTheme="minorHAnsi" w:hAnsiTheme="minorHAnsi"/>
                <w:spacing w:val="-8"/>
              </w:rPr>
              <w:t xml:space="preserve">the pharmacy identified the most common challenges, including lack of space, lack of independent double checks, and lack of staff training. The biggest concerns were rushing through the preparation process, labeling issues, mixing by memory, interruptions and distractions, and concerns about sterility and accuracy. Nearly one-third of respondents were aware of associated errors in the past </w:t>
            </w:r>
            <w:r w:rsidRPr="009D60F3">
              <w:rPr>
                <w:rFonts w:asciiTheme="minorHAnsi" w:hAnsiTheme="minorHAnsi"/>
              </w:rPr>
              <w:t xml:space="preserve">year.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7ABC9BBE" w14:textId="77777777" w:rsidR="00441A09" w:rsidRDefault="00441A09" w:rsidP="00441A09">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Use the results of this survey to prompt internal discussions about limiting the preparation of admixtures outside the pharmacy as much as possible and how to increase the use of pharmacy- and manufacturer-prepared products. If your organization did not participate in this survey, you can download it at </w:t>
            </w:r>
            <w:r w:rsidRPr="009D60F3">
              <w:rPr>
                <w:rFonts w:asciiTheme="minorHAnsi" w:hAnsiTheme="minorHAnsi"/>
                <w:color w:val="0000FF"/>
                <w:spacing w:val="-8"/>
                <w:u w:val="single"/>
              </w:rPr>
              <w:t>www.ismp.org/ext/595</w:t>
            </w:r>
            <w:r w:rsidRPr="009D60F3">
              <w:rPr>
                <w:rFonts w:asciiTheme="minorHAnsi" w:hAnsiTheme="minorHAnsi"/>
                <w:spacing w:val="-8"/>
              </w:rPr>
              <w:t>, distribute it internally, take the survey, and review the results to pinpoint your vulnerabilities and establish a plan for improve</w:t>
            </w:r>
            <w:r w:rsidRPr="009D60F3">
              <w:rPr>
                <w:rFonts w:asciiTheme="minorHAnsi" w:hAnsiTheme="minorHAnsi"/>
              </w:rPr>
              <w:t xml:space="preserve">ment.  </w:t>
            </w:r>
          </w:p>
          <w:p w14:paraId="5FB2ECA5" w14:textId="77777777" w:rsidR="00F1041D" w:rsidRDefault="00F1041D" w:rsidP="00441A09">
            <w:pPr>
              <w:pStyle w:val="AGENDA-body"/>
              <w:tabs>
                <w:tab w:val="clear" w:pos="5735"/>
                <w:tab w:val="clear" w:pos="7906"/>
                <w:tab w:val="clear" w:pos="10080"/>
              </w:tabs>
              <w:rPr>
                <w:rFonts w:asciiTheme="minorHAnsi" w:hAnsiTheme="minorHAnsi"/>
              </w:rPr>
            </w:pPr>
          </w:p>
          <w:p w14:paraId="4D12DA30" w14:textId="30AFB4AC" w:rsidR="00F1041D" w:rsidRPr="009D60F3" w:rsidRDefault="00F1041D" w:rsidP="00441A09">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67493E19" w14:textId="77777777" w:rsidR="00441A09" w:rsidRPr="009D60F3" w:rsidRDefault="00441A09" w:rsidP="00441A09">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7FE03D0A" w14:textId="77777777" w:rsidR="00441A09" w:rsidRPr="009D60F3" w:rsidRDefault="00441A09" w:rsidP="00441A09">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5892A16B" w14:textId="77777777" w:rsidR="00441A09" w:rsidRPr="009D60F3" w:rsidRDefault="00441A09" w:rsidP="00441A09">
            <w:pPr>
              <w:pStyle w:val="AC-table-body"/>
              <w:tabs>
                <w:tab w:val="clear" w:pos="5735"/>
                <w:tab w:val="clear" w:pos="7906"/>
                <w:tab w:val="clear" w:pos="10080"/>
              </w:tabs>
              <w:rPr>
                <w:rFonts w:asciiTheme="minorHAnsi" w:hAnsiTheme="minorHAnsi"/>
              </w:rPr>
            </w:pPr>
          </w:p>
        </w:tc>
      </w:tr>
      <w:tr w:rsidR="00441A09" w:rsidRPr="009D60F3" w14:paraId="0ED0B3B6"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281027B9" w14:textId="4382F4DD" w:rsidR="00441A09" w:rsidRPr="009D60F3" w:rsidRDefault="00441A09" w:rsidP="00B54A35">
            <w:pPr>
              <w:pStyle w:val="Agenda-table-head"/>
            </w:pPr>
            <w:r w:rsidRPr="009D60F3">
              <w:lastRenderedPageBreak/>
              <w:t>The US Food and Drug Administration (FDA) provides an updated Emergency Use Authorization (EUA) for VEKLURY (remdesivir)</w:t>
            </w:r>
          </w:p>
        </w:tc>
      </w:tr>
      <w:tr w:rsidR="00441A09" w:rsidRPr="009D60F3" w14:paraId="0C2ACCC8"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9078B63" w14:textId="0DA41032" w:rsidR="00441A09" w:rsidRPr="009D60F3" w:rsidRDefault="00441A09" w:rsidP="00441A09">
            <w:pPr>
              <w:pStyle w:val="AGENDA-body"/>
              <w:rPr>
                <w:rFonts w:asciiTheme="minorHAnsi" w:hAnsiTheme="minorHAnsi"/>
              </w:rPr>
            </w:pPr>
            <w:r w:rsidRPr="009D60F3">
              <w:rPr>
                <w:rFonts w:asciiTheme="minorHAnsi" w:hAnsiTheme="minorHAnsi"/>
              </w:rPr>
              <w:t>(23)</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217B15EE" w14:textId="6A0E14F8" w:rsidR="00441A09" w:rsidRPr="009D60F3" w:rsidRDefault="00441A09" w:rsidP="00441A09">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FDA approved </w:t>
            </w:r>
            <w:proofErr w:type="spellStart"/>
            <w:r w:rsidRPr="009D60F3">
              <w:rPr>
                <w:rFonts w:asciiTheme="minorHAnsi" w:hAnsiTheme="minorHAnsi"/>
                <w:spacing w:val="-8"/>
              </w:rPr>
              <w:t>Veklury</w:t>
            </w:r>
            <w:proofErr w:type="spellEnd"/>
            <w:r w:rsidRPr="009D60F3">
              <w:rPr>
                <w:rFonts w:asciiTheme="minorHAnsi" w:hAnsiTheme="minorHAnsi"/>
                <w:spacing w:val="-8"/>
              </w:rPr>
              <w:t xml:space="preserve"> for the treatment of COVID-19 in hospitalized adult and pediatric patients 12 years and older weighing at least 40 kg, and revised the EUA to permit use in patients less than 12 years weighing at least 3.5 kg. FDA continues to receive reports of adminis</w:t>
            </w:r>
            <w:r w:rsidRPr="009D60F3">
              <w:rPr>
                <w:rFonts w:asciiTheme="minorHAnsi" w:hAnsiTheme="minorHAnsi"/>
                <w:spacing w:val="-9"/>
              </w:rPr>
              <w:t xml:space="preserve">tering the wrong </w:t>
            </w:r>
            <w:proofErr w:type="spellStart"/>
            <w:r w:rsidRPr="009D60F3">
              <w:rPr>
                <w:rFonts w:asciiTheme="minorHAnsi" w:hAnsiTheme="minorHAnsi"/>
                <w:spacing w:val="-9"/>
              </w:rPr>
              <w:t>Veklury</w:t>
            </w:r>
            <w:proofErr w:type="spellEnd"/>
            <w:r w:rsidRPr="009D60F3">
              <w:rPr>
                <w:rFonts w:asciiTheme="minorHAnsi" w:hAnsiTheme="minorHAnsi"/>
                <w:spacing w:val="-9"/>
              </w:rPr>
              <w:t xml:space="preserve"> dose or formulation (solution vs. lyophilized powder), missed doses, or wasted doses that have been improperly prepared or stored.</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1CC2C611" w14:textId="77777777" w:rsidR="00441A09" w:rsidRDefault="00441A09" w:rsidP="00441A09">
            <w:pPr>
              <w:pStyle w:val="AGENDA-body"/>
              <w:tabs>
                <w:tab w:val="clear" w:pos="5735"/>
                <w:tab w:val="clear" w:pos="7906"/>
                <w:tab w:val="clear" w:pos="10080"/>
              </w:tabs>
              <w:rPr>
                <w:rFonts w:asciiTheme="minorHAnsi" w:hAnsiTheme="minorHAnsi"/>
                <w:spacing w:val="-6"/>
              </w:rPr>
            </w:pPr>
            <w:proofErr w:type="spellStart"/>
            <w:r w:rsidRPr="009D60F3">
              <w:rPr>
                <w:rFonts w:asciiTheme="minorHAnsi" w:hAnsiTheme="minorHAnsi"/>
                <w:spacing w:val="-6"/>
              </w:rPr>
              <w:t>Veklury</w:t>
            </w:r>
            <w:proofErr w:type="spellEnd"/>
            <w:r w:rsidRPr="009D60F3">
              <w:rPr>
                <w:rFonts w:asciiTheme="minorHAnsi" w:hAnsiTheme="minorHAnsi"/>
                <w:spacing w:val="-6"/>
              </w:rPr>
              <w:t xml:space="preserve"> should only be administered in a hospital/acute care setting and used for the FDA-approved and EUA indications. Staff education is required before preparing the different formulations (solution and lyophilized powder), particularly regarding dilution, storage, and indication. Review an earlier 2020 article (</w:t>
            </w:r>
            <w:r w:rsidRPr="009D60F3">
              <w:rPr>
                <w:rFonts w:asciiTheme="minorHAnsi" w:hAnsiTheme="minorHAnsi"/>
                <w:color w:val="0000FF"/>
                <w:spacing w:val="-6"/>
                <w:u w:val="single"/>
              </w:rPr>
              <w:t>www.ismp.org/node/20176</w:t>
            </w:r>
            <w:r w:rsidRPr="009D60F3">
              <w:rPr>
                <w:rFonts w:asciiTheme="minorHAnsi" w:hAnsiTheme="minorHAnsi"/>
                <w:spacing w:val="-6"/>
              </w:rPr>
              <w:t xml:space="preserve">), the revised EUA </w:t>
            </w:r>
            <w:r w:rsidRPr="009D60F3">
              <w:rPr>
                <w:rFonts w:asciiTheme="minorHAnsi" w:hAnsiTheme="minorHAnsi"/>
                <w:i/>
                <w:spacing w:val="-6"/>
              </w:rPr>
              <w:t>Fact Sheet</w:t>
            </w:r>
            <w:r w:rsidRPr="009D60F3">
              <w:rPr>
                <w:rFonts w:asciiTheme="minorHAnsi" w:hAnsiTheme="minorHAnsi"/>
                <w:spacing w:val="-6"/>
              </w:rPr>
              <w:t xml:space="preserve">, and the package insert prior to use. </w:t>
            </w:r>
          </w:p>
          <w:p w14:paraId="0A051173" w14:textId="556B9F15" w:rsidR="00F1041D" w:rsidRPr="009D60F3" w:rsidRDefault="00F1041D" w:rsidP="00441A09">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7F7B0EEA" w14:textId="77777777" w:rsidR="00441A09" w:rsidRPr="009D60F3" w:rsidRDefault="00441A09" w:rsidP="00441A09">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2EF8124E" w14:textId="77777777" w:rsidR="00441A09" w:rsidRPr="009D60F3" w:rsidRDefault="00441A09" w:rsidP="00441A09">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7DE3185E" w14:textId="77777777" w:rsidR="00441A09" w:rsidRPr="009D60F3" w:rsidRDefault="00441A09" w:rsidP="00441A09">
            <w:pPr>
              <w:pStyle w:val="AC-table-body"/>
              <w:tabs>
                <w:tab w:val="clear" w:pos="5735"/>
                <w:tab w:val="clear" w:pos="7906"/>
                <w:tab w:val="clear" w:pos="10080"/>
              </w:tabs>
              <w:rPr>
                <w:rFonts w:asciiTheme="minorHAnsi" w:hAnsiTheme="minorHAnsi"/>
              </w:rPr>
            </w:pPr>
          </w:p>
        </w:tc>
      </w:tr>
      <w:tr w:rsidR="00D45FBC" w:rsidRPr="009D60F3" w14:paraId="292E1394"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0FEC73B" w14:textId="0A1F76D4" w:rsidR="00D45FBC" w:rsidRPr="009D60F3" w:rsidRDefault="00D45FBC" w:rsidP="00B54A35">
            <w:pPr>
              <w:pStyle w:val="Agenda-table-head"/>
            </w:pPr>
            <w:r w:rsidRPr="009D60F3">
              <w:t>Using primary administration sets to administer small-volume intravenous (IV) infusions can lead to underdosing</w:t>
            </w:r>
          </w:p>
        </w:tc>
      </w:tr>
      <w:tr w:rsidR="00D45FBC" w:rsidRPr="009D60F3" w14:paraId="6802A7A5"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BF3F1D5" w14:textId="68CE3DA1" w:rsidR="00D45FBC" w:rsidRPr="009D60F3" w:rsidRDefault="00D45FBC" w:rsidP="00D45FBC">
            <w:pPr>
              <w:pStyle w:val="AGENDA-body"/>
              <w:tabs>
                <w:tab w:val="clear" w:pos="5735"/>
                <w:tab w:val="clear" w:pos="7906"/>
                <w:tab w:val="clear" w:pos="10080"/>
              </w:tabs>
              <w:rPr>
                <w:rFonts w:asciiTheme="minorHAnsi" w:hAnsiTheme="minorHAnsi"/>
              </w:rPr>
            </w:pPr>
            <w:r w:rsidRPr="009D60F3">
              <w:rPr>
                <w:rFonts w:asciiTheme="minorHAnsi" w:hAnsiTheme="minorHAnsi"/>
              </w:rPr>
              <w:t>(24)</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48914807" w14:textId="4B1F3469" w:rsidR="00D45FBC" w:rsidRPr="009D60F3" w:rsidRDefault="00D45FBC" w:rsidP="00D45FBC">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Small-volume intermittent IV infusions administered using a primary administration set may lead to underdosing due to the residual volume in the tubing. In one health system, about 360,000 small-volume infusions were being administered annually to patients at lower doses than prescribed.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70A003BE" w14:textId="77777777" w:rsidR="00D45FBC" w:rsidRDefault="00D45FBC" w:rsidP="00D45FBC">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Increase staff awareness of the residual volume left in the tubing when using primary administration sets for small-volume infusions. Create reminders to administer these with a secondary set. Add an appropriate carrier fluid to order sets to flush residual drug from the tubing.</w:t>
            </w:r>
          </w:p>
          <w:p w14:paraId="0885119C" w14:textId="00B9BD4E" w:rsidR="00F1041D" w:rsidRPr="009D60F3" w:rsidRDefault="00F1041D" w:rsidP="00D45FBC">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740131B6" w14:textId="77777777" w:rsidR="00D45FBC" w:rsidRPr="009D60F3" w:rsidRDefault="00D45FBC" w:rsidP="00D45FBC">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6CDCFB1E" w14:textId="77777777" w:rsidR="00D45FBC" w:rsidRPr="009D60F3" w:rsidRDefault="00D45FBC" w:rsidP="00D45FBC">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749A8C3B" w14:textId="77777777" w:rsidR="00D45FBC" w:rsidRPr="009D60F3" w:rsidRDefault="00D45FBC" w:rsidP="00D45FBC">
            <w:pPr>
              <w:pStyle w:val="AC-table-body"/>
              <w:tabs>
                <w:tab w:val="clear" w:pos="5735"/>
                <w:tab w:val="clear" w:pos="7906"/>
                <w:tab w:val="clear" w:pos="10080"/>
              </w:tabs>
              <w:rPr>
                <w:rFonts w:asciiTheme="minorHAnsi" w:hAnsiTheme="minorHAnsi"/>
              </w:rPr>
            </w:pPr>
          </w:p>
        </w:tc>
      </w:tr>
      <w:tr w:rsidR="00D45FBC" w:rsidRPr="009D60F3" w14:paraId="4830A038"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8E65AA7" w14:textId="63B09373" w:rsidR="00D45FBC" w:rsidRPr="009D60F3" w:rsidRDefault="00D45FBC" w:rsidP="00B54A35">
            <w:pPr>
              <w:pStyle w:val="Agenda-table-head"/>
            </w:pPr>
            <w:r w:rsidRPr="009D60F3">
              <w:t>Neuromuscular blocking agent (paralyzing agent) vial caps without warnings may circulate through 2022</w:t>
            </w:r>
          </w:p>
        </w:tc>
      </w:tr>
      <w:tr w:rsidR="00D45FBC" w:rsidRPr="009D60F3" w14:paraId="67CEDD2F"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46F4338" w14:textId="00624DD6" w:rsidR="007638F8" w:rsidRPr="009D60F3" w:rsidRDefault="007638F8" w:rsidP="007638F8">
            <w:pPr>
              <w:pStyle w:val="AGENDA-body"/>
              <w:rPr>
                <w:rFonts w:asciiTheme="minorHAnsi" w:hAnsiTheme="minorHAnsi"/>
              </w:rPr>
            </w:pPr>
            <w:r w:rsidRPr="009D60F3">
              <w:rPr>
                <w:rFonts w:asciiTheme="minorHAnsi" w:hAnsiTheme="minorHAnsi"/>
              </w:rPr>
              <w:t xml:space="preserve">(25) </w:t>
            </w:r>
          </w:p>
          <w:p w14:paraId="0D7540F0" w14:textId="1B72B435" w:rsidR="00D45FBC" w:rsidRPr="009D60F3" w:rsidRDefault="007638F8" w:rsidP="007638F8">
            <w:pPr>
              <w:pStyle w:val="AGENDA-body"/>
              <w:rPr>
                <w:rFonts w:asciiTheme="minorHAnsi" w:hAnsiTheme="minorHAnsi"/>
              </w:rPr>
            </w:pPr>
            <w:r w:rsidRPr="009D60F3">
              <w:rPr>
                <w:rFonts w:asciiTheme="minorHAnsi" w:hAnsiTheme="minorHAnsi"/>
                <w:noProof/>
              </w:rPr>
              <w:drawing>
                <wp:inline distT="0" distB="0" distL="0" distR="0" wp14:anchorId="1A780835" wp14:editId="09DFA084">
                  <wp:extent cx="152387" cy="1219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6CDC2B07" w14:textId="298C3A6B" w:rsidR="00D45FBC" w:rsidRDefault="00D45FBC" w:rsidP="00D45FBC">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Due to shortages, temporary manufacturing of vecuronium (Fresenius Kabi) and rocuronium (</w:t>
            </w:r>
            <w:proofErr w:type="spellStart"/>
            <w:r w:rsidR="006A6EA8" w:rsidRPr="006A6EA8">
              <w:rPr>
                <w:rFonts w:asciiTheme="minorHAnsi" w:hAnsiTheme="minorHAnsi"/>
                <w:spacing w:val="-8"/>
              </w:rPr>
              <w:t>Athenex</w:t>
            </w:r>
            <w:proofErr w:type="spellEnd"/>
            <w:r w:rsidRPr="009D60F3">
              <w:rPr>
                <w:rFonts w:asciiTheme="minorHAnsi" w:hAnsiTheme="minorHAnsi"/>
                <w:spacing w:val="-8"/>
              </w:rPr>
              <w:t xml:space="preserve">, </w:t>
            </w:r>
            <w:proofErr w:type="spellStart"/>
            <w:r w:rsidRPr="009D60F3">
              <w:rPr>
                <w:rFonts w:asciiTheme="minorHAnsi" w:hAnsiTheme="minorHAnsi"/>
                <w:spacing w:val="-8"/>
              </w:rPr>
              <w:t>Alvogen</w:t>
            </w:r>
            <w:proofErr w:type="spellEnd"/>
            <w:r w:rsidRPr="009D60F3">
              <w:rPr>
                <w:rFonts w:asciiTheme="minorHAnsi" w:hAnsiTheme="minorHAnsi"/>
                <w:spacing w:val="-8"/>
              </w:rPr>
              <w:t>) without the vial cap warning, “Paralyzing Agent,” was allowed. Although these vials are now being manufactured with a cap warning, vials without the warning have expiration dates up to May or June 2022 and may remain in distribution.</w:t>
            </w:r>
          </w:p>
          <w:p w14:paraId="6648FD3E" w14:textId="45BC88E2" w:rsidR="00F1041D" w:rsidRPr="009D60F3" w:rsidRDefault="00F1041D" w:rsidP="00D45FBC">
            <w:pPr>
              <w:pStyle w:val="AGENDA-body"/>
              <w:tabs>
                <w:tab w:val="clear" w:pos="5735"/>
                <w:tab w:val="clear" w:pos="7906"/>
                <w:tab w:val="clear" w:pos="10080"/>
              </w:tabs>
              <w:rPr>
                <w:rFonts w:asciiTheme="minorHAnsi" w:hAnsiTheme="minorHAnsi"/>
              </w:rPr>
            </w:pP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19282D5C" w14:textId="143E1C18" w:rsidR="00D45FBC" w:rsidRPr="009D60F3" w:rsidRDefault="00D45FBC" w:rsidP="00D45FBC">
            <w:pPr>
              <w:pStyle w:val="AGENDA-body"/>
              <w:tabs>
                <w:tab w:val="clear" w:pos="5735"/>
                <w:tab w:val="clear" w:pos="7906"/>
                <w:tab w:val="clear" w:pos="10080"/>
              </w:tabs>
              <w:rPr>
                <w:rFonts w:asciiTheme="minorHAnsi" w:hAnsiTheme="minorHAnsi"/>
              </w:rPr>
            </w:pPr>
            <w:r w:rsidRPr="009D60F3">
              <w:rPr>
                <w:rFonts w:asciiTheme="minorHAnsi" w:hAnsiTheme="minorHAnsi"/>
                <w:spacing w:val="-7"/>
              </w:rPr>
              <w:t xml:space="preserve">Make sure staff are aware of the absence of the warning statement on some paralyzing agents that may still be in stock. Store these products with the labels (not the caps) face up, as the labels still carry a warning statement. Affix auxiliary “Warning: Paralyzing Agent” labels to vial caps of affected products. </w:t>
            </w:r>
          </w:p>
        </w:tc>
        <w:tc>
          <w:tcPr>
            <w:tcW w:w="2340" w:type="dxa"/>
            <w:tcBorders>
              <w:top w:val="single" w:sz="4" w:space="0" w:color="FF0000"/>
              <w:left w:val="single" w:sz="4" w:space="0" w:color="FF0000"/>
              <w:bottom w:val="single" w:sz="4" w:space="0" w:color="FF0000"/>
              <w:right w:val="single" w:sz="4" w:space="0" w:color="FF0000"/>
            </w:tcBorders>
          </w:tcPr>
          <w:p w14:paraId="3560E33C" w14:textId="77777777" w:rsidR="00D45FBC" w:rsidRPr="009D60F3" w:rsidRDefault="00D45FBC" w:rsidP="00D45FBC">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60FA5334" w14:textId="77777777" w:rsidR="00D45FBC" w:rsidRPr="009D60F3" w:rsidRDefault="00D45FBC" w:rsidP="00D45FBC">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7E56ECFF" w14:textId="77777777" w:rsidR="00D45FBC" w:rsidRPr="009D60F3" w:rsidRDefault="00D45FBC" w:rsidP="00D45FBC">
            <w:pPr>
              <w:pStyle w:val="AC-table-body"/>
              <w:tabs>
                <w:tab w:val="clear" w:pos="5735"/>
                <w:tab w:val="clear" w:pos="7906"/>
                <w:tab w:val="clear" w:pos="10080"/>
              </w:tabs>
              <w:rPr>
                <w:rFonts w:asciiTheme="minorHAnsi" w:hAnsiTheme="minorHAnsi"/>
              </w:rPr>
            </w:pPr>
          </w:p>
        </w:tc>
      </w:tr>
      <w:tr w:rsidR="009D225D" w:rsidRPr="009D60F3" w14:paraId="048B2807"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608394E" w14:textId="311EDB5D" w:rsidR="009D225D" w:rsidRPr="009D60F3" w:rsidRDefault="009D225D" w:rsidP="00B54A35">
            <w:pPr>
              <w:pStyle w:val="Agenda-table-head"/>
            </w:pPr>
            <w:r w:rsidRPr="009D60F3">
              <w:t>Similarities between B. Braun 500 mL bags of intravenous (IV) heparin and hypertonic sodium chloride 3%</w:t>
            </w:r>
          </w:p>
        </w:tc>
      </w:tr>
      <w:tr w:rsidR="009D225D" w:rsidRPr="009D60F3" w14:paraId="486F1832"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43389C7" w14:textId="5F4982A2" w:rsidR="007638F8" w:rsidRPr="009D60F3" w:rsidRDefault="007638F8" w:rsidP="007638F8">
            <w:pPr>
              <w:pStyle w:val="AGENDA-body"/>
              <w:rPr>
                <w:rFonts w:asciiTheme="minorHAnsi" w:hAnsiTheme="minorHAnsi"/>
              </w:rPr>
            </w:pPr>
            <w:r w:rsidRPr="009D60F3">
              <w:rPr>
                <w:rFonts w:asciiTheme="minorHAnsi" w:hAnsiTheme="minorHAnsi"/>
              </w:rPr>
              <w:t xml:space="preserve">(21) </w:t>
            </w:r>
          </w:p>
          <w:p w14:paraId="1D628FFE" w14:textId="78399FCF" w:rsidR="009D225D" w:rsidRPr="009D60F3" w:rsidRDefault="007638F8" w:rsidP="007638F8">
            <w:pPr>
              <w:pStyle w:val="AGENDA-body"/>
              <w:rPr>
                <w:rFonts w:asciiTheme="minorHAnsi" w:hAnsiTheme="minorHAnsi"/>
              </w:rPr>
            </w:pPr>
            <w:r w:rsidRPr="009D60F3">
              <w:rPr>
                <w:rFonts w:asciiTheme="minorHAnsi" w:hAnsiTheme="minorHAnsi"/>
                <w:noProof/>
              </w:rPr>
              <w:drawing>
                <wp:inline distT="0" distB="0" distL="0" distR="0" wp14:anchorId="55B4C69A" wp14:editId="1333EC46">
                  <wp:extent cx="152387" cy="1219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693AD0D2" w14:textId="5DF2BFB0" w:rsidR="009D225D" w:rsidRPr="009D60F3" w:rsidRDefault="009D225D" w:rsidP="009D225D">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ISMP received multiple reports involving mix-ups between 500 mL bags of IV heparin and IV hypertonic (3%) sodium chloride (B. Braun). The bags look very similar in their overwraps. Mix-ups with these products could prove serious.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159142BB" w14:textId="7735410E" w:rsidR="009D225D" w:rsidRDefault="009D225D" w:rsidP="009D225D">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Use barcode scanning to help prevent errors and store these products apart in the pharmacy. Consider obtaining one of the products from a different manufacturer. ISMP asked B. Braun to consider labeling changes to prevent mix-ups. </w:t>
            </w:r>
          </w:p>
          <w:p w14:paraId="510DAFD8" w14:textId="151FD1C1" w:rsidR="00F1041D" w:rsidRDefault="00F1041D" w:rsidP="009D225D">
            <w:pPr>
              <w:pStyle w:val="AGENDA-body"/>
              <w:tabs>
                <w:tab w:val="clear" w:pos="5735"/>
                <w:tab w:val="clear" w:pos="7906"/>
                <w:tab w:val="clear" w:pos="10080"/>
              </w:tabs>
              <w:rPr>
                <w:rFonts w:asciiTheme="minorHAnsi" w:hAnsiTheme="minorHAnsi"/>
                <w:spacing w:val="-8"/>
              </w:rPr>
            </w:pPr>
          </w:p>
          <w:p w14:paraId="00BE9C41" w14:textId="77777777" w:rsidR="00F1041D" w:rsidRDefault="00F1041D" w:rsidP="009D225D">
            <w:pPr>
              <w:pStyle w:val="AGENDA-body"/>
              <w:tabs>
                <w:tab w:val="clear" w:pos="5735"/>
                <w:tab w:val="clear" w:pos="7906"/>
                <w:tab w:val="clear" w:pos="10080"/>
              </w:tabs>
              <w:rPr>
                <w:rFonts w:asciiTheme="minorHAnsi" w:hAnsiTheme="minorHAnsi"/>
                <w:spacing w:val="-8"/>
              </w:rPr>
            </w:pPr>
          </w:p>
          <w:p w14:paraId="106A086B" w14:textId="72432938" w:rsidR="00F1041D" w:rsidRPr="009D60F3" w:rsidRDefault="00F1041D" w:rsidP="009D225D">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4ED1BB93" w14:textId="77777777" w:rsidR="009D225D" w:rsidRPr="009D60F3" w:rsidRDefault="009D225D" w:rsidP="009D225D">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5F15D3E9" w14:textId="77777777" w:rsidR="009D225D" w:rsidRPr="009D60F3" w:rsidRDefault="009D225D" w:rsidP="009D225D">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636F85DB" w14:textId="77777777" w:rsidR="009D225D" w:rsidRPr="009D60F3" w:rsidRDefault="009D225D" w:rsidP="009D225D">
            <w:pPr>
              <w:pStyle w:val="AC-table-body"/>
              <w:tabs>
                <w:tab w:val="clear" w:pos="5735"/>
                <w:tab w:val="clear" w:pos="7906"/>
                <w:tab w:val="clear" w:pos="10080"/>
              </w:tabs>
              <w:rPr>
                <w:rFonts w:asciiTheme="minorHAnsi" w:hAnsiTheme="minorHAnsi"/>
              </w:rPr>
            </w:pPr>
          </w:p>
        </w:tc>
      </w:tr>
      <w:tr w:rsidR="009D225D" w:rsidRPr="009D60F3" w14:paraId="43757C65"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90016BF" w14:textId="2C086C9A" w:rsidR="009D225D" w:rsidRPr="009D60F3" w:rsidRDefault="009D225D" w:rsidP="00B54A35">
            <w:pPr>
              <w:pStyle w:val="Agenda-table-head"/>
            </w:pPr>
            <w:r w:rsidRPr="009D60F3">
              <w:lastRenderedPageBreak/>
              <w:t xml:space="preserve">More mix-ups between vials of </w:t>
            </w:r>
            <w:proofErr w:type="spellStart"/>
            <w:r w:rsidRPr="009D60F3">
              <w:t>ePHEDrine</w:t>
            </w:r>
            <w:proofErr w:type="spellEnd"/>
            <w:r w:rsidRPr="009D60F3">
              <w:t xml:space="preserve"> and EPINEPHrine (ADRENALIN)</w:t>
            </w:r>
          </w:p>
        </w:tc>
      </w:tr>
      <w:tr w:rsidR="009D225D" w:rsidRPr="009D60F3" w14:paraId="01B79FF5" w14:textId="77777777" w:rsidTr="00257280">
        <w:trPr>
          <w:trHeight w:val="2276"/>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54615F0A" w14:textId="492FB7AE" w:rsidR="003D2874" w:rsidRPr="009D60F3" w:rsidRDefault="003D2874" w:rsidP="003D2874">
            <w:pPr>
              <w:pStyle w:val="AGENDA-body"/>
              <w:rPr>
                <w:rFonts w:asciiTheme="minorHAnsi" w:hAnsiTheme="minorHAnsi"/>
              </w:rPr>
            </w:pPr>
            <w:r w:rsidRPr="009D60F3">
              <w:rPr>
                <w:rFonts w:asciiTheme="minorHAnsi" w:hAnsiTheme="minorHAnsi"/>
              </w:rPr>
              <w:t xml:space="preserve">(21) </w:t>
            </w:r>
          </w:p>
          <w:p w14:paraId="555585DE" w14:textId="3687E1CB" w:rsidR="009D225D" w:rsidRPr="009D60F3" w:rsidRDefault="003D2874" w:rsidP="003D2874">
            <w:pPr>
              <w:pStyle w:val="AGENDA-body"/>
              <w:rPr>
                <w:rFonts w:asciiTheme="minorHAnsi" w:hAnsiTheme="minorHAnsi"/>
              </w:rPr>
            </w:pPr>
            <w:r w:rsidRPr="009D60F3">
              <w:rPr>
                <w:rFonts w:asciiTheme="minorHAnsi" w:hAnsiTheme="minorHAnsi"/>
                <w:noProof/>
              </w:rPr>
              <w:drawing>
                <wp:inline distT="0" distB="0" distL="0" distR="0" wp14:anchorId="15EDF673" wp14:editId="65145B1D">
                  <wp:extent cx="152387" cy="1219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4CFD7DB9" w14:textId="00CA6C92" w:rsidR="009D225D" w:rsidRPr="009D60F3" w:rsidRDefault="009D225D" w:rsidP="009D225D">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Look-alike vials of </w:t>
            </w:r>
            <w:proofErr w:type="spellStart"/>
            <w:r w:rsidRPr="009D60F3">
              <w:rPr>
                <w:rFonts w:asciiTheme="minorHAnsi" w:hAnsiTheme="minorHAnsi"/>
                <w:spacing w:val="-8"/>
              </w:rPr>
              <w:t>e</w:t>
            </w:r>
            <w:r w:rsidRPr="009D60F3">
              <w:rPr>
                <w:rFonts w:asciiTheme="minorHAnsi" w:hAnsiTheme="minorHAnsi"/>
                <w:b/>
                <w:spacing w:val="-8"/>
              </w:rPr>
              <w:t>PHED</w:t>
            </w:r>
            <w:r w:rsidRPr="009D60F3">
              <w:rPr>
                <w:rFonts w:asciiTheme="minorHAnsi" w:hAnsiTheme="minorHAnsi"/>
                <w:spacing w:val="-8"/>
              </w:rPr>
              <w:t>rine</w:t>
            </w:r>
            <w:proofErr w:type="spellEnd"/>
            <w:r w:rsidRPr="009D60F3">
              <w:rPr>
                <w:rFonts w:asciiTheme="minorHAnsi" w:hAnsiTheme="minorHAnsi"/>
                <w:spacing w:val="-8"/>
              </w:rPr>
              <w:t xml:space="preserve"> and </w:t>
            </w:r>
            <w:r w:rsidRPr="009D60F3">
              <w:rPr>
                <w:rFonts w:asciiTheme="minorHAnsi" w:hAnsiTheme="minorHAnsi"/>
                <w:b/>
                <w:spacing w:val="-8"/>
              </w:rPr>
              <w:t>EPINEPH</w:t>
            </w:r>
            <w:r w:rsidRPr="009D60F3">
              <w:rPr>
                <w:rFonts w:asciiTheme="minorHAnsi" w:hAnsiTheme="minorHAnsi"/>
                <w:spacing w:val="-8"/>
              </w:rPr>
              <w:t xml:space="preserve">rine have been frequently mixed up due to name and packaging similarities. The latest mix-up occurred between </w:t>
            </w:r>
            <w:proofErr w:type="spellStart"/>
            <w:r w:rsidRPr="009D60F3">
              <w:rPr>
                <w:rFonts w:asciiTheme="minorHAnsi" w:hAnsiTheme="minorHAnsi"/>
                <w:spacing w:val="-8"/>
              </w:rPr>
              <w:t>Amneal</w:t>
            </w:r>
            <w:proofErr w:type="spellEnd"/>
            <w:r w:rsidRPr="009D60F3">
              <w:rPr>
                <w:rFonts w:asciiTheme="minorHAnsi" w:hAnsiTheme="minorHAnsi"/>
                <w:spacing w:val="-8"/>
              </w:rPr>
              <w:t xml:space="preserve"> Pharmaceuticals </w:t>
            </w:r>
            <w:proofErr w:type="spellStart"/>
            <w:r w:rsidRPr="009D60F3">
              <w:rPr>
                <w:rFonts w:asciiTheme="minorHAnsi" w:hAnsiTheme="minorHAnsi"/>
                <w:spacing w:val="-8"/>
              </w:rPr>
              <w:t>e</w:t>
            </w:r>
            <w:r w:rsidRPr="009D60F3">
              <w:rPr>
                <w:rFonts w:asciiTheme="minorHAnsi" w:hAnsiTheme="minorHAnsi"/>
                <w:b/>
                <w:spacing w:val="-8"/>
              </w:rPr>
              <w:t>PHED</w:t>
            </w:r>
            <w:r w:rsidRPr="009D60F3">
              <w:rPr>
                <w:rFonts w:asciiTheme="minorHAnsi" w:hAnsiTheme="minorHAnsi"/>
                <w:spacing w:val="-8"/>
              </w:rPr>
              <w:t>rine</w:t>
            </w:r>
            <w:proofErr w:type="spellEnd"/>
            <w:r w:rsidRPr="009D60F3">
              <w:rPr>
                <w:rFonts w:asciiTheme="minorHAnsi" w:hAnsiTheme="minorHAnsi"/>
                <w:spacing w:val="-8"/>
              </w:rPr>
              <w:t xml:space="preserve"> and PAR Pharmaceutical </w:t>
            </w:r>
            <w:r w:rsidRPr="009D60F3">
              <w:rPr>
                <w:rFonts w:asciiTheme="minorHAnsi" w:hAnsiTheme="minorHAnsi"/>
                <w:b/>
                <w:spacing w:val="-8"/>
              </w:rPr>
              <w:t>EPINEPH</w:t>
            </w:r>
            <w:r w:rsidRPr="009D60F3">
              <w:rPr>
                <w:rFonts w:asciiTheme="minorHAnsi" w:hAnsiTheme="minorHAnsi"/>
                <w:spacing w:val="-8"/>
              </w:rPr>
              <w:t xml:space="preserve">rine vials, both of which are similar in size (1 mL) and have purple caps.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2D199454" w14:textId="77777777" w:rsidR="009D225D" w:rsidRDefault="009D225D" w:rsidP="009D225D">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 xml:space="preserve">Use barcode scanning when stocking, dispensing, and administering these medications. Store them apart in the pharmacy and in locked, lidded drawers in automated dispensing cabinets (ADCs). Use prefilled </w:t>
            </w:r>
            <w:r w:rsidRPr="009D60F3">
              <w:rPr>
                <w:rFonts w:asciiTheme="minorHAnsi" w:hAnsiTheme="minorHAnsi"/>
                <w:b/>
                <w:spacing w:val="-4"/>
              </w:rPr>
              <w:t>EPINEPH</w:t>
            </w:r>
            <w:r w:rsidRPr="009D60F3">
              <w:rPr>
                <w:rFonts w:asciiTheme="minorHAnsi" w:hAnsiTheme="minorHAnsi"/>
                <w:spacing w:val="-4"/>
              </w:rPr>
              <w:t>ri</w:t>
            </w:r>
            <w:r w:rsidRPr="009D60F3">
              <w:rPr>
                <w:rFonts w:asciiTheme="minorHAnsi" w:hAnsiTheme="minorHAnsi"/>
                <w:spacing w:val="-8"/>
              </w:rPr>
              <w:t xml:space="preserve">ne syringes from an outsourcer, and/or have pharmacy prepare infusions and bolus doses for these drugs (except in emergencies). </w:t>
            </w:r>
          </w:p>
          <w:p w14:paraId="33CD0783" w14:textId="37A4172B" w:rsidR="00F1041D" w:rsidRPr="009D60F3" w:rsidRDefault="00F1041D" w:rsidP="009D225D">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5BA5F63E" w14:textId="77777777" w:rsidR="009D225D" w:rsidRPr="009D60F3" w:rsidRDefault="009D225D" w:rsidP="009D225D">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08E49792" w14:textId="77777777" w:rsidR="009D225D" w:rsidRPr="009D60F3" w:rsidRDefault="009D225D" w:rsidP="009D225D">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449776DC" w14:textId="77777777" w:rsidR="009D225D" w:rsidRPr="009D60F3" w:rsidRDefault="009D225D" w:rsidP="009D225D">
            <w:pPr>
              <w:pStyle w:val="AC-table-body"/>
              <w:tabs>
                <w:tab w:val="clear" w:pos="5735"/>
                <w:tab w:val="clear" w:pos="7906"/>
                <w:tab w:val="clear" w:pos="10080"/>
              </w:tabs>
              <w:rPr>
                <w:rFonts w:asciiTheme="minorHAnsi" w:hAnsiTheme="minorHAnsi"/>
              </w:rPr>
            </w:pPr>
          </w:p>
        </w:tc>
      </w:tr>
      <w:tr w:rsidR="00257280" w:rsidRPr="009D60F3" w14:paraId="59443D0D" w14:textId="77777777" w:rsidTr="00E9671A">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C8018CC" w14:textId="74B44C59" w:rsidR="00257280" w:rsidRPr="009D60F3" w:rsidRDefault="00257280" w:rsidP="00B54A35">
            <w:pPr>
              <w:pStyle w:val="Agenda-table-head"/>
            </w:pPr>
            <w:r w:rsidRPr="009D60F3">
              <w:t>Topical thrombin (RECOTHROM) given systemically instead of antithrombin III (THROMBATE III)</w:t>
            </w:r>
          </w:p>
        </w:tc>
      </w:tr>
      <w:tr w:rsidR="00257280" w:rsidRPr="009D60F3" w14:paraId="2D222AD7"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1DC61736" w14:textId="70AD8D08" w:rsidR="00257280" w:rsidRPr="009D60F3" w:rsidRDefault="00257280" w:rsidP="00257280">
            <w:pPr>
              <w:pStyle w:val="AGENDA-body"/>
              <w:rPr>
                <w:rFonts w:asciiTheme="minorHAnsi" w:hAnsiTheme="minorHAnsi"/>
              </w:rPr>
            </w:pPr>
            <w:r w:rsidRPr="009D60F3">
              <w:rPr>
                <w:rFonts w:asciiTheme="minorHAnsi" w:hAnsiTheme="minorHAnsi"/>
              </w:rPr>
              <w:t>(22)</w:t>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53752199" w14:textId="4D085182" w:rsidR="00257280" w:rsidRPr="009D60F3" w:rsidRDefault="00257280" w:rsidP="00257280">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During cardiac surgery, a patient received topical </w:t>
            </w:r>
            <w:proofErr w:type="spellStart"/>
            <w:r w:rsidRPr="009D60F3">
              <w:rPr>
                <w:rFonts w:asciiTheme="minorHAnsi" w:hAnsiTheme="minorHAnsi"/>
                <w:spacing w:val="-8"/>
              </w:rPr>
              <w:t>Recothrom</w:t>
            </w:r>
            <w:proofErr w:type="spellEnd"/>
            <w:r w:rsidRPr="009D60F3">
              <w:rPr>
                <w:rFonts w:asciiTheme="minorHAnsi" w:hAnsiTheme="minorHAnsi"/>
                <w:spacing w:val="-8"/>
              </w:rPr>
              <w:t xml:space="preserve"> systemically instead of </w:t>
            </w:r>
            <w:proofErr w:type="spellStart"/>
            <w:r w:rsidRPr="009D60F3">
              <w:rPr>
                <w:rFonts w:asciiTheme="minorHAnsi" w:hAnsiTheme="minorHAnsi"/>
                <w:spacing w:val="-8"/>
              </w:rPr>
              <w:t>Thrombate</w:t>
            </w:r>
            <w:proofErr w:type="spellEnd"/>
            <w:r w:rsidRPr="009D60F3">
              <w:rPr>
                <w:rFonts w:asciiTheme="minorHAnsi" w:hAnsiTheme="minorHAnsi"/>
                <w:spacing w:val="-8"/>
              </w:rPr>
              <w:t xml:space="preserve"> III. The perfusionist typed “T-H-R-O-M” into the automated dispensing cabinet (ADC) and selected </w:t>
            </w:r>
            <w:proofErr w:type="spellStart"/>
            <w:r w:rsidRPr="009D60F3">
              <w:rPr>
                <w:rFonts w:asciiTheme="minorHAnsi" w:hAnsiTheme="minorHAnsi"/>
                <w:spacing w:val="-8"/>
              </w:rPr>
              <w:t>Recothrom</w:t>
            </w:r>
            <w:proofErr w:type="spellEnd"/>
            <w:r w:rsidRPr="009D60F3">
              <w:rPr>
                <w:rFonts w:asciiTheme="minorHAnsi" w:hAnsiTheme="minorHAnsi"/>
                <w:spacing w:val="-8"/>
              </w:rPr>
              <w:t xml:space="preserve"> in error. </w:t>
            </w:r>
            <w:proofErr w:type="spellStart"/>
            <w:r w:rsidRPr="009D60F3">
              <w:rPr>
                <w:rFonts w:asciiTheme="minorHAnsi" w:hAnsiTheme="minorHAnsi"/>
                <w:spacing w:val="-8"/>
              </w:rPr>
              <w:t>Recothrom</w:t>
            </w:r>
            <w:proofErr w:type="spellEnd"/>
            <w:r w:rsidRPr="009D60F3">
              <w:rPr>
                <w:rFonts w:asciiTheme="minorHAnsi" w:hAnsiTheme="minorHAnsi"/>
                <w:spacing w:val="-8"/>
              </w:rPr>
              <w:t xml:space="preserve"> vials come with a Luer syringe, which was then connected to a cardiopulmonary bypass machine and administered.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4AB9093C" w14:textId="77777777" w:rsidR="00257280" w:rsidRDefault="00257280" w:rsidP="00257280">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 xml:space="preserve">Edit electronic health records and ADC product displays to clearly list “topical thrombin” for </w:t>
            </w:r>
            <w:proofErr w:type="spellStart"/>
            <w:r w:rsidRPr="009D60F3">
              <w:rPr>
                <w:rFonts w:asciiTheme="minorHAnsi" w:hAnsiTheme="minorHAnsi"/>
                <w:spacing w:val="-8"/>
              </w:rPr>
              <w:t>Recothrom</w:t>
            </w:r>
            <w:proofErr w:type="spellEnd"/>
            <w:r w:rsidRPr="009D60F3">
              <w:rPr>
                <w:rFonts w:asciiTheme="minorHAnsi" w:hAnsiTheme="minorHAnsi"/>
                <w:spacing w:val="-8"/>
              </w:rPr>
              <w:t xml:space="preserve"> and “antithrombin III” for </w:t>
            </w:r>
            <w:proofErr w:type="spellStart"/>
            <w:r w:rsidRPr="009D60F3">
              <w:rPr>
                <w:rFonts w:asciiTheme="minorHAnsi" w:hAnsiTheme="minorHAnsi"/>
                <w:spacing w:val="-8"/>
              </w:rPr>
              <w:t>Thrombate</w:t>
            </w:r>
            <w:proofErr w:type="spellEnd"/>
            <w:r w:rsidRPr="009D60F3">
              <w:rPr>
                <w:rFonts w:asciiTheme="minorHAnsi" w:hAnsiTheme="minorHAnsi"/>
                <w:spacing w:val="-8"/>
              </w:rPr>
              <w:t xml:space="preserve"> III to decrease the risk of name confusion. If possible, stock topical thrombin in a kit that does NOT contain a Luer syringe (e.g., THROMBIN-JMI). Review our 2017 article (</w:t>
            </w:r>
            <w:r w:rsidRPr="009D60F3">
              <w:rPr>
                <w:rFonts w:asciiTheme="minorHAnsi" w:hAnsiTheme="minorHAnsi"/>
                <w:color w:val="0000FF"/>
                <w:spacing w:val="-8"/>
                <w:u w:val="single"/>
              </w:rPr>
              <w:t>www.ismp.org/node/234</w:t>
            </w:r>
            <w:r w:rsidRPr="009D60F3">
              <w:rPr>
                <w:rFonts w:asciiTheme="minorHAnsi" w:hAnsiTheme="minorHAnsi"/>
                <w:spacing w:val="-8"/>
              </w:rPr>
              <w:t>) for additional recommendations.</w:t>
            </w:r>
          </w:p>
          <w:p w14:paraId="4F96C026" w14:textId="1D5E6E45" w:rsidR="00F1041D" w:rsidRPr="009D60F3" w:rsidRDefault="00F1041D" w:rsidP="00257280">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65565C47"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3D1EEDE7"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66999626" w14:textId="77777777" w:rsidR="00257280" w:rsidRPr="009D60F3" w:rsidRDefault="00257280" w:rsidP="00257280">
            <w:pPr>
              <w:pStyle w:val="AC-table-body"/>
              <w:tabs>
                <w:tab w:val="clear" w:pos="5735"/>
                <w:tab w:val="clear" w:pos="7906"/>
                <w:tab w:val="clear" w:pos="10080"/>
              </w:tabs>
              <w:rPr>
                <w:rFonts w:asciiTheme="minorHAnsi" w:hAnsiTheme="minorHAnsi"/>
              </w:rPr>
            </w:pPr>
          </w:p>
        </w:tc>
      </w:tr>
      <w:tr w:rsidR="00257280" w:rsidRPr="009D60F3" w14:paraId="46703189" w14:textId="77777777" w:rsidTr="00DA3DB7">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3F19864" w14:textId="6A463B5F" w:rsidR="00257280" w:rsidRPr="009D60F3" w:rsidRDefault="00257280" w:rsidP="00B54A35">
            <w:pPr>
              <w:pStyle w:val="Agenda-table-head"/>
            </w:pPr>
            <w:r w:rsidRPr="009D60F3">
              <w:t xml:space="preserve">Mix-up between conventional and liposomal </w:t>
            </w:r>
            <w:proofErr w:type="spellStart"/>
            <w:r w:rsidRPr="009D60F3">
              <w:t>DOXOrubicin</w:t>
            </w:r>
            <w:proofErr w:type="spellEnd"/>
            <w:r w:rsidRPr="009D60F3">
              <w:t xml:space="preserve"> formulations</w:t>
            </w:r>
          </w:p>
        </w:tc>
      </w:tr>
      <w:tr w:rsidR="00257280" w:rsidRPr="009D60F3" w14:paraId="67AA67A4" w14:textId="77777777" w:rsidTr="00E9671A">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4CFBA9D" w14:textId="6143B356" w:rsidR="000C5577" w:rsidRPr="009D60F3" w:rsidRDefault="000C5577" w:rsidP="000C5577">
            <w:pPr>
              <w:pStyle w:val="AGENDA-body"/>
              <w:rPr>
                <w:rFonts w:asciiTheme="minorHAnsi" w:hAnsiTheme="minorHAnsi"/>
              </w:rPr>
            </w:pPr>
            <w:r w:rsidRPr="009D60F3">
              <w:rPr>
                <w:rFonts w:asciiTheme="minorHAnsi" w:hAnsiTheme="minorHAnsi"/>
              </w:rPr>
              <w:t xml:space="preserve">(24) </w:t>
            </w:r>
          </w:p>
          <w:p w14:paraId="14C821DD" w14:textId="5036EF94" w:rsidR="00257280" w:rsidRPr="009D60F3" w:rsidRDefault="000C5577" w:rsidP="000C5577">
            <w:pPr>
              <w:pStyle w:val="AGENDA-body"/>
              <w:rPr>
                <w:rFonts w:asciiTheme="minorHAnsi" w:hAnsiTheme="minorHAnsi"/>
              </w:rPr>
            </w:pPr>
            <w:r w:rsidRPr="009D60F3">
              <w:rPr>
                <w:rFonts w:asciiTheme="minorHAnsi" w:hAnsiTheme="minorHAnsi"/>
                <w:noProof/>
              </w:rPr>
              <w:drawing>
                <wp:inline distT="0" distB="0" distL="0" distR="0" wp14:anchorId="6691D2BC" wp14:editId="034E6B90">
                  <wp:extent cx="152387" cy="1219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5CC7D5E1" w14:textId="4C8ED56B" w:rsidR="00257280" w:rsidRPr="009D60F3" w:rsidRDefault="00257280" w:rsidP="00257280">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A technician accidently used liposomal instead of conventional </w:t>
            </w:r>
            <w:proofErr w:type="spellStart"/>
            <w:r w:rsidRPr="009D60F3">
              <w:rPr>
                <w:rFonts w:asciiTheme="minorHAnsi" w:hAnsiTheme="minorHAnsi"/>
                <w:b/>
                <w:spacing w:val="-8"/>
              </w:rPr>
              <w:t>DOXO</w:t>
            </w:r>
            <w:r w:rsidRPr="009D60F3">
              <w:rPr>
                <w:rFonts w:asciiTheme="minorHAnsi" w:hAnsiTheme="minorHAnsi"/>
                <w:spacing w:val="-8"/>
              </w:rPr>
              <w:t>rubicin</w:t>
            </w:r>
            <w:proofErr w:type="spellEnd"/>
            <w:r w:rsidRPr="009D60F3">
              <w:rPr>
                <w:rFonts w:asciiTheme="minorHAnsi" w:hAnsiTheme="minorHAnsi"/>
                <w:spacing w:val="-8"/>
              </w:rPr>
              <w:t xml:space="preserve"> to prepare two infusions. The technician did receive an alert when she scanned the wrong medication, but she overrode it. The pharmacist did not catch the error during verification, and the preparations were dispensed and administered.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57DEE75B" w14:textId="77777777" w:rsidR="00257280" w:rsidRDefault="00257280" w:rsidP="00257280">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 xml:space="preserve">Vials of liposomal and conventional </w:t>
            </w:r>
            <w:proofErr w:type="spellStart"/>
            <w:r w:rsidRPr="009D60F3">
              <w:rPr>
                <w:rFonts w:asciiTheme="minorHAnsi" w:hAnsiTheme="minorHAnsi"/>
                <w:b/>
                <w:spacing w:val="-8"/>
              </w:rPr>
              <w:t>DOXO</w:t>
            </w:r>
            <w:r w:rsidRPr="009D60F3">
              <w:rPr>
                <w:rFonts w:asciiTheme="minorHAnsi" w:hAnsiTheme="minorHAnsi"/>
                <w:spacing w:val="-8"/>
              </w:rPr>
              <w:t>rubicin</w:t>
            </w:r>
            <w:proofErr w:type="spellEnd"/>
            <w:r w:rsidRPr="009D60F3">
              <w:rPr>
                <w:rFonts w:asciiTheme="minorHAnsi" w:hAnsiTheme="minorHAnsi"/>
                <w:spacing w:val="-8"/>
              </w:rPr>
              <w:t xml:space="preserve"> should be stored separately. Consider affixing a prominent sticker on the liposomal formulation so it is not confused with the conventional formulation. A pharmacist should review all scanning overrides prior to final verification of the preparation.  </w:t>
            </w:r>
            <w:r w:rsidRPr="009D60F3">
              <w:rPr>
                <w:rFonts w:asciiTheme="minorHAnsi" w:hAnsiTheme="minorHAnsi"/>
              </w:rPr>
              <w:t xml:space="preserve">  </w:t>
            </w:r>
          </w:p>
          <w:p w14:paraId="7964F439" w14:textId="5D7E786D" w:rsidR="00F1041D" w:rsidRPr="009D60F3" w:rsidRDefault="00F1041D" w:rsidP="00257280">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30FA2698"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07A760AD"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3B347CF4" w14:textId="77777777" w:rsidR="00257280" w:rsidRPr="009D60F3" w:rsidRDefault="00257280" w:rsidP="00257280">
            <w:pPr>
              <w:pStyle w:val="AC-table-body"/>
              <w:tabs>
                <w:tab w:val="clear" w:pos="5735"/>
                <w:tab w:val="clear" w:pos="7906"/>
                <w:tab w:val="clear" w:pos="10080"/>
              </w:tabs>
              <w:rPr>
                <w:rFonts w:asciiTheme="minorHAnsi" w:hAnsiTheme="minorHAnsi"/>
              </w:rPr>
            </w:pPr>
          </w:p>
        </w:tc>
      </w:tr>
      <w:tr w:rsidR="00257280" w:rsidRPr="009D60F3" w14:paraId="25A12DFE" w14:textId="77777777" w:rsidTr="00F934C6">
        <w:trPr>
          <w:jc w:val="center"/>
        </w:trPr>
        <w:tc>
          <w:tcPr>
            <w:tcW w:w="1456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2D23753" w14:textId="1C7319DE" w:rsidR="00257280" w:rsidRPr="009D60F3" w:rsidRDefault="00257280" w:rsidP="00B54A35">
            <w:pPr>
              <w:pStyle w:val="Agenda-table-head"/>
            </w:pPr>
            <w:r w:rsidRPr="009D60F3">
              <w:t>Administer adenosine injection via rapid intravenous (IV) push for cardioversion</w:t>
            </w:r>
          </w:p>
        </w:tc>
      </w:tr>
      <w:tr w:rsidR="00257280" w:rsidRPr="009D60F3" w14:paraId="5DA8D8D9" w14:textId="77777777" w:rsidTr="00C80C6F">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FD2032E" w14:textId="77777777" w:rsidR="000C5577" w:rsidRPr="009D60F3" w:rsidRDefault="000C5577" w:rsidP="000C5577">
            <w:pPr>
              <w:pStyle w:val="AGENDA-body"/>
              <w:rPr>
                <w:rFonts w:asciiTheme="minorHAnsi" w:hAnsiTheme="minorHAnsi"/>
              </w:rPr>
            </w:pPr>
            <w:r w:rsidRPr="009D60F3">
              <w:rPr>
                <w:rFonts w:asciiTheme="minorHAnsi" w:hAnsiTheme="minorHAnsi"/>
              </w:rPr>
              <w:t xml:space="preserve">(24) </w:t>
            </w:r>
          </w:p>
          <w:p w14:paraId="336E1DA6" w14:textId="36D101D5" w:rsidR="00257280" w:rsidRPr="009D60F3" w:rsidRDefault="000C5577" w:rsidP="000C5577">
            <w:pPr>
              <w:pStyle w:val="AGENDA-body"/>
              <w:tabs>
                <w:tab w:val="clear" w:pos="5735"/>
                <w:tab w:val="clear" w:pos="7906"/>
                <w:tab w:val="clear" w:pos="10080"/>
              </w:tabs>
              <w:rPr>
                <w:rFonts w:asciiTheme="minorHAnsi" w:hAnsiTheme="minorHAnsi"/>
              </w:rPr>
            </w:pPr>
            <w:r w:rsidRPr="009D60F3">
              <w:rPr>
                <w:rFonts w:asciiTheme="minorHAnsi" w:hAnsiTheme="minorHAnsi"/>
                <w:noProof/>
              </w:rPr>
              <w:drawing>
                <wp:inline distT="0" distB="0" distL="0" distR="0" wp14:anchorId="0B40279E" wp14:editId="373C86B4">
                  <wp:extent cx="152387" cy="12191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452" w:type="dxa"/>
            <w:tcBorders>
              <w:top w:val="single" w:sz="4" w:space="0" w:color="FF0000"/>
              <w:left w:val="single" w:sz="4" w:space="0" w:color="FF0000"/>
              <w:bottom w:val="single" w:sz="4" w:space="0" w:color="FF0000"/>
              <w:right w:val="single" w:sz="4" w:space="0" w:color="FF0000"/>
            </w:tcBorders>
            <w:shd w:val="clear" w:color="auto" w:fill="FFF3D6"/>
          </w:tcPr>
          <w:p w14:paraId="227441DF" w14:textId="35A0C8FB" w:rsidR="00257280" w:rsidRPr="009D60F3" w:rsidRDefault="00257280" w:rsidP="00257280">
            <w:pPr>
              <w:pStyle w:val="AGENDA-body"/>
              <w:tabs>
                <w:tab w:val="clear" w:pos="5735"/>
                <w:tab w:val="clear" w:pos="7906"/>
                <w:tab w:val="clear" w:pos="10080"/>
              </w:tabs>
              <w:rPr>
                <w:rFonts w:asciiTheme="minorHAnsi" w:hAnsiTheme="minorHAnsi"/>
              </w:rPr>
            </w:pPr>
            <w:r w:rsidRPr="009D60F3">
              <w:rPr>
                <w:rFonts w:asciiTheme="minorHAnsi" w:hAnsiTheme="minorHAnsi"/>
                <w:spacing w:val="-8"/>
              </w:rPr>
              <w:t>Adenosine was administered too slowly during cardiac arrest, resulting in a fail-</w:t>
            </w:r>
            <w:proofErr w:type="spellStart"/>
            <w:r w:rsidRPr="009D60F3">
              <w:rPr>
                <w:rFonts w:asciiTheme="minorHAnsi" w:hAnsiTheme="minorHAnsi"/>
                <w:spacing w:val="-8"/>
              </w:rPr>
              <w:t>ure</w:t>
            </w:r>
            <w:proofErr w:type="spellEnd"/>
            <w:r w:rsidRPr="009D60F3">
              <w:rPr>
                <w:rFonts w:asciiTheme="minorHAnsi" w:hAnsiTheme="minorHAnsi"/>
                <w:spacing w:val="-8"/>
              </w:rPr>
              <w:t xml:space="preserve"> to convert the patient to normal sinus rhythm. Adenosine is often retrieved from an automated dispensing cabinet (ADC) via override (e.g., during a code), so instructions about rapid administration built into orders may not be visible. </w:t>
            </w:r>
          </w:p>
        </w:tc>
        <w:tc>
          <w:tcPr>
            <w:tcW w:w="3591" w:type="dxa"/>
            <w:tcBorders>
              <w:top w:val="single" w:sz="4" w:space="0" w:color="FF0000"/>
              <w:left w:val="single" w:sz="4" w:space="0" w:color="FF0000"/>
              <w:bottom w:val="single" w:sz="4" w:space="0" w:color="FF0000"/>
              <w:right w:val="single" w:sz="4" w:space="0" w:color="FF0000"/>
            </w:tcBorders>
            <w:shd w:val="clear" w:color="auto" w:fill="F0EBD3"/>
          </w:tcPr>
          <w:p w14:paraId="705743FB" w14:textId="55DA340C" w:rsidR="00F1041D" w:rsidRDefault="00257280" w:rsidP="00257280">
            <w:pPr>
              <w:pStyle w:val="AGENDA-body"/>
              <w:tabs>
                <w:tab w:val="clear" w:pos="5735"/>
                <w:tab w:val="clear" w:pos="7906"/>
                <w:tab w:val="clear" w:pos="10080"/>
              </w:tabs>
              <w:rPr>
                <w:rFonts w:asciiTheme="minorHAnsi" w:hAnsiTheme="minorHAnsi"/>
                <w:spacing w:val="-8"/>
              </w:rPr>
            </w:pPr>
            <w:r w:rsidRPr="009D60F3">
              <w:rPr>
                <w:rFonts w:asciiTheme="minorHAnsi" w:hAnsiTheme="minorHAnsi"/>
                <w:spacing w:val="-8"/>
              </w:rPr>
              <w:t>Pharmacy staff, especially those station-ed in the emergency department or res-ponding to codes, should educate others about the requirement for rapid injection at a site as close to the patient’s torso as possible, and that the medication must be rapidly flushed and cleared from any tubing. An auxiliary label may also help.</w:t>
            </w:r>
          </w:p>
          <w:p w14:paraId="7F24C153" w14:textId="77777777" w:rsidR="00F1041D" w:rsidRDefault="00F1041D" w:rsidP="00257280">
            <w:pPr>
              <w:pStyle w:val="AGENDA-body"/>
              <w:tabs>
                <w:tab w:val="clear" w:pos="5735"/>
                <w:tab w:val="clear" w:pos="7906"/>
                <w:tab w:val="clear" w:pos="10080"/>
              </w:tabs>
              <w:rPr>
                <w:rFonts w:asciiTheme="minorHAnsi" w:hAnsiTheme="minorHAnsi"/>
              </w:rPr>
            </w:pPr>
          </w:p>
          <w:p w14:paraId="610FD64F" w14:textId="694E627A" w:rsidR="003F5B18" w:rsidRPr="009D60F3" w:rsidRDefault="003F5B18" w:rsidP="00257280">
            <w:pPr>
              <w:pStyle w:val="AGENDA-body"/>
              <w:tabs>
                <w:tab w:val="clear" w:pos="5735"/>
                <w:tab w:val="clear" w:pos="7906"/>
                <w:tab w:val="clear" w:pos="10080"/>
              </w:tabs>
              <w:rPr>
                <w:rFonts w:asciiTheme="minorHAnsi" w:hAnsiTheme="minorHAnsi"/>
              </w:rPr>
            </w:pPr>
          </w:p>
        </w:tc>
        <w:tc>
          <w:tcPr>
            <w:tcW w:w="2340" w:type="dxa"/>
            <w:tcBorders>
              <w:top w:val="single" w:sz="4" w:space="0" w:color="FF0000"/>
              <w:left w:val="single" w:sz="4" w:space="0" w:color="FF0000"/>
              <w:bottom w:val="single" w:sz="4" w:space="0" w:color="FF0000"/>
              <w:right w:val="single" w:sz="4" w:space="0" w:color="FF0000"/>
            </w:tcBorders>
          </w:tcPr>
          <w:p w14:paraId="379D8DC9"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2610" w:type="dxa"/>
            <w:tcBorders>
              <w:top w:val="single" w:sz="4" w:space="0" w:color="FF0000"/>
              <w:left w:val="single" w:sz="4" w:space="0" w:color="FF0000"/>
              <w:bottom w:val="single" w:sz="4" w:space="0" w:color="FF0000"/>
              <w:right w:val="single" w:sz="4" w:space="0" w:color="FF0000"/>
            </w:tcBorders>
          </w:tcPr>
          <w:p w14:paraId="32551FE0" w14:textId="77777777" w:rsidR="00257280" w:rsidRPr="009D60F3" w:rsidRDefault="00257280" w:rsidP="00257280">
            <w:pPr>
              <w:pStyle w:val="AC-table-body"/>
              <w:tabs>
                <w:tab w:val="clear" w:pos="5735"/>
                <w:tab w:val="clear" w:pos="7906"/>
                <w:tab w:val="clear" w:pos="10080"/>
              </w:tabs>
              <w:rPr>
                <w:rFonts w:asciiTheme="minorHAnsi" w:hAnsiTheme="minorHAnsi"/>
              </w:rPr>
            </w:pPr>
          </w:p>
        </w:tc>
        <w:tc>
          <w:tcPr>
            <w:tcW w:w="1963" w:type="dxa"/>
            <w:tcBorders>
              <w:top w:val="single" w:sz="4" w:space="0" w:color="FF0000"/>
              <w:left w:val="single" w:sz="4" w:space="0" w:color="FF0000"/>
              <w:bottom w:val="single" w:sz="4" w:space="0" w:color="FF0000"/>
              <w:right w:val="single" w:sz="4" w:space="0" w:color="FF0000"/>
            </w:tcBorders>
          </w:tcPr>
          <w:p w14:paraId="06B4B5A3" w14:textId="77777777" w:rsidR="00257280" w:rsidRPr="009D60F3" w:rsidRDefault="00257280" w:rsidP="00257280">
            <w:pPr>
              <w:pStyle w:val="AC-table-body"/>
              <w:tabs>
                <w:tab w:val="clear" w:pos="5735"/>
                <w:tab w:val="clear" w:pos="7906"/>
                <w:tab w:val="clear" w:pos="10080"/>
              </w:tabs>
              <w:rPr>
                <w:rFonts w:asciiTheme="minorHAnsi" w:hAnsiTheme="minorHAnsi"/>
              </w:rPr>
            </w:pPr>
          </w:p>
        </w:tc>
      </w:tr>
    </w:tbl>
    <w:p w14:paraId="3193E43C" w14:textId="77777777" w:rsidR="00ED7DDF" w:rsidRPr="003F5B18" w:rsidRDefault="00ED7DDF" w:rsidP="003F5B18">
      <w:pPr>
        <w:rPr>
          <w:rFonts w:asciiTheme="minorHAnsi" w:hAnsiTheme="minorHAnsi"/>
          <w:sz w:val="2"/>
          <w:szCs w:val="2"/>
        </w:rPr>
      </w:pPr>
    </w:p>
    <w:sectPr w:rsidR="00ED7DDF" w:rsidRPr="003F5B18" w:rsidSect="00090DE8">
      <w:headerReference w:type="default" r:id="rId12"/>
      <w:footerReference w:type="default" r:id="rId13"/>
      <w:headerReference w:type="first" r:id="rId14"/>
      <w:footerReference w:type="first" r:id="rId15"/>
      <w:pgSz w:w="15840" w:h="12240" w:orient="landscape" w:code="1"/>
      <w:pgMar w:top="1008" w:right="1008" w:bottom="576" w:left="990" w:header="432" w:footer="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77A5" w14:textId="77777777" w:rsidR="00450FD0" w:rsidRDefault="00450FD0">
      <w:r>
        <w:separator/>
      </w:r>
    </w:p>
  </w:endnote>
  <w:endnote w:type="continuationSeparator" w:id="0">
    <w:p w14:paraId="42E073BA" w14:textId="77777777" w:rsidR="00450FD0" w:rsidRDefault="0045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BoldEx">
    <w:altName w:val="Calibri"/>
    <w:panose1 w:val="00000000000000000000"/>
    <w:charset w:val="00"/>
    <w:family w:val="swiss"/>
    <w:notTrueType/>
    <w:pitch w:val="variable"/>
    <w:sig w:usb0="00000003" w:usb1="00000000" w:usb2="00000000" w:usb3="00000000" w:csb0="00000001" w:csb1="00000000"/>
  </w:font>
  <w:font w:name="Akzidenz Grotesk BE Cn">
    <w:altName w:val="Calibri"/>
    <w:panose1 w:val="00000000000000000000"/>
    <w:charset w:val="00"/>
    <w:family w:val="modern"/>
    <w:notTrueType/>
    <w:pitch w:val="variable"/>
    <w:sig w:usb0="8000002F" w:usb1="40000048" w:usb2="00000000" w:usb3="00000000" w:csb0="00000001" w:csb1="00000000"/>
  </w:font>
  <w:font w:name="Akzidenz Grotesk BE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Univers LT Std 45 Light">
    <w:panose1 w:val="020B0403020202020204"/>
    <w:charset w:val="00"/>
    <w:family w:val="swiss"/>
    <w:notTrueType/>
    <w:pitch w:val="variable"/>
    <w:sig w:usb0="00000003" w:usb1="00000000" w:usb2="00000000" w:usb3="00000000" w:csb0="00000001" w:csb1="00000000"/>
  </w:font>
  <w:font w:name="Univers LT Std 47 Cn Lt">
    <w:panose1 w:val="020B0406020202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40" w:type="dxa"/>
      <w:tblInd w:w="-432" w:type="dxa"/>
      <w:tblLook w:val="01E0" w:firstRow="1" w:lastRow="1" w:firstColumn="1" w:lastColumn="1" w:noHBand="0" w:noVBand="0"/>
    </w:tblPr>
    <w:tblGrid>
      <w:gridCol w:w="4824"/>
      <w:gridCol w:w="4392"/>
      <w:gridCol w:w="5724"/>
    </w:tblGrid>
    <w:tr w:rsidR="008616D6" w:rsidRPr="00CD401F" w14:paraId="7390D315" w14:textId="77777777" w:rsidTr="008C5601">
      <w:tc>
        <w:tcPr>
          <w:tcW w:w="4824" w:type="dxa"/>
          <w:shd w:val="clear" w:color="auto" w:fill="auto"/>
        </w:tcPr>
        <w:p w14:paraId="7D2B5C10" w14:textId="6C5DFE01" w:rsidR="008616D6" w:rsidRPr="00CD401F" w:rsidRDefault="00B52576" w:rsidP="00681302">
          <w:pPr>
            <w:pStyle w:val="hosp-volume-no"/>
            <w:jc w:val="left"/>
            <w:rPr>
              <w:rFonts w:ascii="Univers LT Std 47 Cn Lt" w:hAnsi="Univers LT Std 47 Cn Lt"/>
              <w:szCs w:val="16"/>
            </w:rPr>
          </w:pPr>
          <w:r>
            <w:rPr>
              <w:rFonts w:ascii="Univers LT Std 47 Cn Lt" w:hAnsi="Univers LT Std 47 Cn Lt"/>
              <w:szCs w:val="16"/>
            </w:rPr>
            <w:t>January 28, 2021</w:t>
          </w:r>
        </w:p>
      </w:tc>
      <w:tc>
        <w:tcPr>
          <w:tcW w:w="4392" w:type="dxa"/>
          <w:shd w:val="clear" w:color="auto" w:fill="auto"/>
        </w:tcPr>
        <w:p w14:paraId="0377C55B" w14:textId="77777777" w:rsidR="008616D6" w:rsidRPr="00CD401F" w:rsidRDefault="008616D6" w:rsidP="008C5601">
          <w:pPr>
            <w:jc w:val="center"/>
            <w:rPr>
              <w:rFonts w:ascii="Univers LT Std 47 Cn Lt" w:hAnsi="Univers LT Std 47 Cn Lt"/>
              <w:sz w:val="16"/>
              <w:szCs w:val="16"/>
            </w:rPr>
          </w:pPr>
          <w:r w:rsidRPr="00185F44">
            <w:rPr>
              <w:rFonts w:ascii="Univers LT Std 47 Cn Lt" w:hAnsi="Univers LT Std 47 Cn Lt"/>
              <w:i/>
              <w:sz w:val="16"/>
              <w:szCs w:val="16"/>
            </w:rPr>
            <w:t>ISMP Medication</w:t>
          </w:r>
          <w:r w:rsidR="009779C5" w:rsidRPr="00185F44">
            <w:rPr>
              <w:rFonts w:ascii="Univers LT Std 47 Cn Lt" w:hAnsi="Univers LT Std 47 Cn Lt"/>
              <w:i/>
              <w:sz w:val="16"/>
              <w:szCs w:val="16"/>
            </w:rPr>
            <w:t xml:space="preserve"> </w:t>
          </w:r>
          <w:r w:rsidRPr="00185F44">
            <w:rPr>
              <w:rFonts w:ascii="Univers LT Std 47 Cn Lt" w:hAnsi="Univers LT Std 47 Cn Lt"/>
              <w:i/>
              <w:sz w:val="16"/>
              <w:szCs w:val="16"/>
            </w:rPr>
            <w:t>Safety</w:t>
          </w:r>
          <w:r w:rsidR="009779C5" w:rsidRPr="00185F44">
            <w:rPr>
              <w:rFonts w:ascii="Univers LT Std 47 Cn Lt" w:hAnsi="Univers LT Std 47 Cn Lt"/>
              <w:i/>
              <w:sz w:val="16"/>
              <w:szCs w:val="16"/>
            </w:rPr>
            <w:t xml:space="preserve"> </w:t>
          </w:r>
          <w:r w:rsidRPr="00185F44">
            <w:rPr>
              <w:rFonts w:ascii="Univers LT Std 47 Cn Lt" w:hAnsi="Univers LT Std 47 Cn Lt"/>
              <w:i/>
              <w:sz w:val="16"/>
              <w:szCs w:val="16"/>
            </w:rPr>
            <w:t>Alert!</w:t>
          </w:r>
          <w:r w:rsidR="00FD43EE" w:rsidRPr="00185F44">
            <w:rPr>
              <w:rStyle w:val="Normal1"/>
              <w:rFonts w:ascii="Symbol" w:hAnsi="Symbol"/>
              <w:i/>
              <w:sz w:val="11"/>
              <w:vertAlign w:val="superscript"/>
            </w:rPr>
            <w:t></w:t>
          </w:r>
          <w:r w:rsidR="009779C5">
            <w:rPr>
              <w:rFonts w:ascii="Univers LT Std 47 Cn Lt" w:hAnsi="Univers LT Std 47 Cn Lt"/>
              <w:sz w:val="16"/>
              <w:szCs w:val="16"/>
            </w:rPr>
            <w:t>Acute Care</w:t>
          </w:r>
        </w:p>
        <w:p w14:paraId="24DAEB22" w14:textId="77777777" w:rsidR="008616D6" w:rsidRPr="00CD401F" w:rsidRDefault="008616D6" w:rsidP="008C5601">
          <w:pPr>
            <w:pStyle w:val="hosp-volume-no"/>
            <w:jc w:val="right"/>
            <w:rPr>
              <w:rFonts w:ascii="Univers LT Std 47 Cn Lt" w:hAnsi="Univers LT Std 47 Cn Lt"/>
              <w:szCs w:val="16"/>
            </w:rPr>
          </w:pPr>
        </w:p>
      </w:tc>
      <w:tc>
        <w:tcPr>
          <w:tcW w:w="5724" w:type="dxa"/>
          <w:shd w:val="clear" w:color="auto" w:fill="auto"/>
        </w:tcPr>
        <w:p w14:paraId="7D7B3E3B" w14:textId="77777777" w:rsidR="008616D6" w:rsidRPr="00CD401F" w:rsidRDefault="008616D6" w:rsidP="008C5601">
          <w:pPr>
            <w:pStyle w:val="hosp-volume-no"/>
            <w:jc w:val="right"/>
            <w:rPr>
              <w:rFonts w:ascii="Univers LT Std 47 Cn Lt" w:hAnsi="Univers LT Std 47 Cn Lt"/>
              <w:szCs w:val="16"/>
            </w:rPr>
          </w:pPr>
          <w:r w:rsidRPr="00CD401F">
            <w:rPr>
              <w:rFonts w:ascii="Univers LT Std 47 Cn Lt" w:hAnsi="Univers LT Std 47 Cn Lt"/>
              <w:szCs w:val="16"/>
            </w:rPr>
            <w:t xml:space="preserve">AA </w:t>
          </w:r>
          <w:r w:rsidRPr="00CD401F">
            <w:rPr>
              <w:rFonts w:ascii="Univers LT Std 47 Cn Lt" w:hAnsi="Univers LT Std 47 Cn Lt"/>
              <w:szCs w:val="16"/>
            </w:rPr>
            <w:fldChar w:fldCharType="begin"/>
          </w:r>
          <w:r w:rsidRPr="00CD401F">
            <w:rPr>
              <w:rFonts w:ascii="Univers LT Std 47 Cn Lt" w:hAnsi="Univers LT Std 47 Cn Lt"/>
              <w:szCs w:val="16"/>
            </w:rPr>
            <w:instrText xml:space="preserve"> PAGE </w:instrText>
          </w:r>
          <w:r w:rsidRPr="00CD401F">
            <w:rPr>
              <w:rFonts w:ascii="Univers LT Std 47 Cn Lt" w:hAnsi="Univers LT Std 47 Cn Lt"/>
              <w:szCs w:val="16"/>
            </w:rPr>
            <w:fldChar w:fldCharType="separate"/>
          </w:r>
          <w:r w:rsidR="00681302">
            <w:rPr>
              <w:rFonts w:ascii="Univers LT Std 47 Cn Lt" w:hAnsi="Univers LT Std 47 Cn Lt"/>
              <w:noProof/>
              <w:szCs w:val="16"/>
            </w:rPr>
            <w:t>4</w:t>
          </w:r>
          <w:r w:rsidRPr="00CD401F">
            <w:rPr>
              <w:rFonts w:ascii="Univers LT Std 47 Cn Lt" w:hAnsi="Univers LT Std 47 Cn Lt"/>
              <w:szCs w:val="16"/>
            </w:rPr>
            <w:fldChar w:fldCharType="end"/>
          </w:r>
        </w:p>
        <w:p w14:paraId="7C0F5730" w14:textId="77777777" w:rsidR="008616D6" w:rsidRPr="00CD401F" w:rsidRDefault="008616D6" w:rsidP="008C5601">
          <w:pPr>
            <w:pStyle w:val="hosp-volume-no"/>
            <w:jc w:val="right"/>
            <w:rPr>
              <w:rFonts w:ascii="Univers LT Std 47 Cn Lt" w:hAnsi="Univers LT Std 47 Cn Lt"/>
              <w:szCs w:val="16"/>
            </w:rPr>
          </w:pPr>
        </w:p>
      </w:tc>
    </w:tr>
  </w:tbl>
  <w:p w14:paraId="15FEB635" w14:textId="77777777" w:rsidR="008616D6" w:rsidRPr="00CD401F" w:rsidRDefault="008616D6" w:rsidP="00F52484">
    <w:pPr>
      <w:pStyle w:val="hosp-volume-no"/>
      <w:jc w:val="right"/>
      <w:rPr>
        <w:rFonts w:ascii="Univers LT Std 47 Cn Lt" w:hAnsi="Univers LT Std 47 Cn Lt"/>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40" w:type="dxa"/>
      <w:tblInd w:w="-432" w:type="dxa"/>
      <w:tblLook w:val="01E0" w:firstRow="1" w:lastRow="1" w:firstColumn="1" w:lastColumn="1" w:noHBand="0" w:noVBand="0"/>
    </w:tblPr>
    <w:tblGrid>
      <w:gridCol w:w="4824"/>
      <w:gridCol w:w="4392"/>
      <w:gridCol w:w="5724"/>
    </w:tblGrid>
    <w:tr w:rsidR="00B25C88" w14:paraId="055449D3" w14:textId="77777777" w:rsidTr="008C5601">
      <w:tc>
        <w:tcPr>
          <w:tcW w:w="4824" w:type="dxa"/>
          <w:shd w:val="clear" w:color="auto" w:fill="auto"/>
        </w:tcPr>
        <w:p w14:paraId="446FEBD2" w14:textId="3CAD2B4B" w:rsidR="00B25C88" w:rsidRPr="00EF1C8C" w:rsidRDefault="00B922E8" w:rsidP="00270D9D">
          <w:pPr>
            <w:pStyle w:val="hosp-volume-no"/>
            <w:jc w:val="left"/>
            <w:rPr>
              <w:rFonts w:ascii="Univers LT Std 47 Cn Lt" w:hAnsi="Univers LT Std 47 Cn Lt"/>
              <w:szCs w:val="16"/>
            </w:rPr>
          </w:pPr>
          <w:r>
            <w:rPr>
              <w:rFonts w:ascii="Univers LT Std 47 Cn Lt" w:hAnsi="Univers LT Std 47 Cn Lt"/>
              <w:color w:val="000000"/>
              <w:szCs w:val="16"/>
            </w:rPr>
            <w:t>January 28</w:t>
          </w:r>
          <w:r w:rsidR="0023371D">
            <w:rPr>
              <w:rFonts w:ascii="Univers LT Std 47 Cn Lt" w:hAnsi="Univers LT Std 47 Cn Lt"/>
              <w:color w:val="000000"/>
              <w:szCs w:val="16"/>
            </w:rPr>
            <w:t>, 202</w:t>
          </w:r>
          <w:r>
            <w:rPr>
              <w:rFonts w:ascii="Univers LT Std 47 Cn Lt" w:hAnsi="Univers LT Std 47 Cn Lt"/>
              <w:color w:val="000000"/>
              <w:szCs w:val="16"/>
            </w:rPr>
            <w:t>1</w:t>
          </w:r>
        </w:p>
      </w:tc>
      <w:tc>
        <w:tcPr>
          <w:tcW w:w="4392" w:type="dxa"/>
          <w:shd w:val="clear" w:color="auto" w:fill="auto"/>
        </w:tcPr>
        <w:p w14:paraId="14B6AD4F" w14:textId="77777777" w:rsidR="007A6C8C" w:rsidRPr="00CD401F" w:rsidRDefault="007A6C8C" w:rsidP="007A6C8C">
          <w:pPr>
            <w:jc w:val="center"/>
            <w:rPr>
              <w:rFonts w:ascii="Univers LT Std 47 Cn Lt" w:hAnsi="Univers LT Std 47 Cn Lt"/>
              <w:sz w:val="16"/>
              <w:szCs w:val="16"/>
            </w:rPr>
          </w:pPr>
          <w:r w:rsidRPr="00590D96">
            <w:rPr>
              <w:rFonts w:ascii="Univers LT Std 47 Cn Lt" w:hAnsi="Univers LT Std 47 Cn Lt"/>
              <w:i/>
              <w:sz w:val="16"/>
              <w:szCs w:val="16"/>
            </w:rPr>
            <w:t>ISMP Medication Safety Alert!</w:t>
          </w:r>
          <w:r w:rsidRPr="00590D96">
            <w:rPr>
              <w:rStyle w:val="Normal1"/>
              <w:rFonts w:ascii="Symbol" w:hAnsi="Symbol"/>
              <w:i/>
              <w:sz w:val="11"/>
              <w:vertAlign w:val="superscript"/>
            </w:rPr>
            <w:t></w:t>
          </w:r>
          <w:r w:rsidR="00590D96" w:rsidRPr="00590D96">
            <w:rPr>
              <w:rStyle w:val="Normal1"/>
              <w:rFonts w:ascii="Symbol" w:hAnsi="Symbol"/>
              <w:i/>
              <w:sz w:val="16"/>
              <w:szCs w:val="16"/>
              <w:vertAlign w:val="superscript"/>
            </w:rPr>
            <w:t></w:t>
          </w:r>
          <w:r>
            <w:rPr>
              <w:rFonts w:ascii="Univers LT Std 47 Cn Lt" w:hAnsi="Univers LT Std 47 Cn Lt"/>
              <w:sz w:val="16"/>
              <w:szCs w:val="16"/>
            </w:rPr>
            <w:t>Acute Care</w:t>
          </w:r>
        </w:p>
        <w:p w14:paraId="3F237742" w14:textId="77777777" w:rsidR="00B25C88" w:rsidRPr="00EF1C8C" w:rsidRDefault="00B25C88" w:rsidP="008C5601">
          <w:pPr>
            <w:pStyle w:val="hosp-volume-no"/>
            <w:jc w:val="right"/>
            <w:rPr>
              <w:rFonts w:ascii="Univers LT Std 47 Cn Lt" w:hAnsi="Univers LT Std 47 Cn Lt"/>
              <w:szCs w:val="16"/>
            </w:rPr>
          </w:pPr>
        </w:p>
      </w:tc>
      <w:tc>
        <w:tcPr>
          <w:tcW w:w="5724" w:type="dxa"/>
          <w:shd w:val="clear" w:color="auto" w:fill="auto"/>
        </w:tcPr>
        <w:p w14:paraId="4EA2E45C" w14:textId="77777777" w:rsidR="00B25C88" w:rsidRPr="00EF1C8C" w:rsidRDefault="00B25C88" w:rsidP="008C5601">
          <w:pPr>
            <w:pStyle w:val="hosp-volume-no"/>
            <w:jc w:val="right"/>
            <w:rPr>
              <w:rStyle w:val="PageNumber"/>
              <w:rFonts w:ascii="Univers LT Std 47 Cn Lt" w:hAnsi="Univers LT Std 47 Cn Lt"/>
              <w:color w:val="000000"/>
              <w:szCs w:val="16"/>
            </w:rPr>
          </w:pPr>
          <w:r w:rsidRPr="00EF1C8C">
            <w:rPr>
              <w:rFonts w:ascii="Univers LT Std 47 Cn Lt" w:hAnsi="Univers LT Std 47 Cn Lt"/>
              <w:szCs w:val="16"/>
            </w:rPr>
            <w:t xml:space="preserve">AA </w:t>
          </w:r>
          <w:r w:rsidRPr="00EF1C8C">
            <w:rPr>
              <w:rStyle w:val="PageNumber"/>
              <w:rFonts w:ascii="Univers LT Std 47 Cn Lt" w:hAnsi="Univers LT Std 47 Cn Lt"/>
              <w:color w:val="000000"/>
              <w:szCs w:val="16"/>
            </w:rPr>
            <w:fldChar w:fldCharType="begin"/>
          </w:r>
          <w:r w:rsidRPr="00EF1C8C">
            <w:rPr>
              <w:rStyle w:val="PageNumber"/>
              <w:rFonts w:ascii="Univers LT Std 47 Cn Lt" w:hAnsi="Univers LT Std 47 Cn Lt"/>
              <w:color w:val="000000"/>
              <w:szCs w:val="16"/>
            </w:rPr>
            <w:instrText xml:space="preserve"> PAGE </w:instrText>
          </w:r>
          <w:r w:rsidRPr="00EF1C8C">
            <w:rPr>
              <w:rStyle w:val="PageNumber"/>
              <w:rFonts w:ascii="Univers LT Std 47 Cn Lt" w:hAnsi="Univers LT Std 47 Cn Lt"/>
              <w:color w:val="000000"/>
              <w:szCs w:val="16"/>
            </w:rPr>
            <w:fldChar w:fldCharType="separate"/>
          </w:r>
          <w:r w:rsidR="00681302">
            <w:rPr>
              <w:rStyle w:val="PageNumber"/>
              <w:rFonts w:ascii="Univers LT Std 47 Cn Lt" w:hAnsi="Univers LT Std 47 Cn Lt"/>
              <w:noProof/>
              <w:color w:val="000000"/>
              <w:szCs w:val="16"/>
            </w:rPr>
            <w:t>1</w:t>
          </w:r>
          <w:r w:rsidRPr="00EF1C8C">
            <w:rPr>
              <w:rStyle w:val="PageNumber"/>
              <w:rFonts w:ascii="Univers LT Std 47 Cn Lt" w:hAnsi="Univers LT Std 47 Cn Lt"/>
              <w:color w:val="000000"/>
              <w:szCs w:val="16"/>
            </w:rPr>
            <w:fldChar w:fldCharType="end"/>
          </w:r>
        </w:p>
        <w:p w14:paraId="5A1F7EE7" w14:textId="77777777" w:rsidR="00B25C88" w:rsidRPr="00EF1C8C" w:rsidRDefault="00B25C88" w:rsidP="008C5601">
          <w:pPr>
            <w:pStyle w:val="hosp-volume-no"/>
            <w:jc w:val="right"/>
            <w:rPr>
              <w:rFonts w:ascii="Univers LT Std 47 Cn Lt" w:hAnsi="Univers LT Std 47 Cn Lt"/>
              <w:szCs w:val="16"/>
            </w:rPr>
          </w:pPr>
        </w:p>
      </w:tc>
    </w:tr>
  </w:tbl>
  <w:p w14:paraId="0DA0D855" w14:textId="77777777" w:rsidR="00B25C88" w:rsidRDefault="00B25C88" w:rsidP="00B25C88">
    <w:pPr>
      <w:pStyle w:val="hosp-volume-no"/>
      <w:jc w:val="right"/>
    </w:pPr>
  </w:p>
  <w:p w14:paraId="6E97DC97" w14:textId="77777777" w:rsidR="008616D6" w:rsidRPr="00B25C88" w:rsidRDefault="008616D6" w:rsidP="00B2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225F" w14:textId="77777777" w:rsidR="00450FD0" w:rsidRDefault="00450FD0">
      <w:r>
        <w:separator/>
      </w:r>
    </w:p>
  </w:footnote>
  <w:footnote w:type="continuationSeparator" w:id="0">
    <w:p w14:paraId="5D97566C" w14:textId="77777777" w:rsidR="00450FD0" w:rsidRDefault="0045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F9E5" w14:textId="09E92699" w:rsidR="008616D6" w:rsidRPr="00326F6C" w:rsidRDefault="00B52576" w:rsidP="00143524">
    <w:pPr>
      <w:jc w:val="center"/>
      <w:rPr>
        <w:rFonts w:ascii="Univers LT Std 57 Cn" w:hAnsi="Univers LT Std 57 Cn"/>
        <w:color w:val="999999"/>
        <w:sz w:val="18"/>
      </w:rPr>
    </w:pPr>
    <w:r>
      <w:rPr>
        <w:rFonts w:ascii="Univers LT Std 57 Cn" w:hAnsi="Univers LT Std 57 Cn"/>
        <w:color w:val="999999"/>
        <w:sz w:val="18"/>
      </w:rPr>
      <w:t>October- December</w:t>
    </w:r>
    <w:r w:rsidR="00E52B7F">
      <w:rPr>
        <w:rFonts w:ascii="Univers LT Std 57 Cn" w:hAnsi="Univers LT Std 57 Cn"/>
        <w:color w:val="999999"/>
        <w:sz w:val="18"/>
      </w:rPr>
      <w:t xml:space="preserve"> 2020</w:t>
    </w:r>
  </w:p>
  <w:p w14:paraId="7B5C7697" w14:textId="77777777" w:rsidR="008616D6" w:rsidRPr="00326F6C" w:rsidRDefault="008616D6" w:rsidP="0066080D">
    <w:pPr>
      <w:ind w:right="-180"/>
      <w:jc w:val="center"/>
      <w:rPr>
        <w:rFonts w:ascii="Univers LT Std 55" w:hAnsi="Univers LT Std 55"/>
        <w:b/>
        <w:color w:val="D60030"/>
        <w:position w:val="-2"/>
        <w:sz w:val="32"/>
      </w:rPr>
    </w:pPr>
    <w:r w:rsidRPr="00326F6C">
      <w:rPr>
        <w:rFonts w:ascii="Univers LT Std 55" w:hAnsi="Univers LT Std 55"/>
        <w:b/>
        <w:i/>
        <w:color w:val="D60030"/>
        <w:position w:val="-1"/>
        <w:sz w:val="20"/>
      </w:rPr>
      <w:t>ISMP</w:t>
    </w:r>
    <w:r w:rsidR="006A7E43">
      <w:rPr>
        <w:rFonts w:ascii="Univers LT Std 55" w:hAnsi="Univers LT Std 55"/>
        <w:b/>
        <w:color w:val="D60030"/>
        <w:position w:val="-2"/>
        <w:sz w:val="32"/>
      </w:rPr>
      <w:t xml:space="preserve"> </w:t>
    </w:r>
    <w:proofErr w:type="spellStart"/>
    <w:r w:rsidRPr="00326F6C">
      <w:rPr>
        <w:rFonts w:ascii="Univers LT Std 55" w:hAnsi="Univers LT Std 55"/>
        <w:b/>
        <w:color w:val="D60030"/>
        <w:position w:val="-2"/>
        <w:sz w:val="32"/>
      </w:rPr>
      <w:t>Action</w:t>
    </w:r>
    <w:r w:rsidRPr="00326F6C">
      <w:rPr>
        <w:rFonts w:ascii="Univers LT Std 45 Light" w:hAnsi="Univers LT Std 45 Light"/>
        <w:color w:val="D60030"/>
        <w:position w:val="-2"/>
        <w:sz w:val="32"/>
      </w:rPr>
      <w:t>Agenda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9601" w14:textId="3273C363" w:rsidR="008616D6" w:rsidRPr="00326F6C" w:rsidRDefault="00B922E8" w:rsidP="00D66374">
    <w:pPr>
      <w:jc w:val="center"/>
      <w:rPr>
        <w:rFonts w:ascii="Univers LT Std 57 Cn" w:hAnsi="Univers LT Std 57 Cn"/>
        <w:color w:val="999999"/>
        <w:sz w:val="18"/>
      </w:rPr>
    </w:pPr>
    <w:bookmarkStart w:id="18" w:name="OLE_LINK1"/>
    <w:bookmarkStart w:id="19" w:name="OLE_LINK2"/>
    <w:r>
      <w:rPr>
        <w:rFonts w:ascii="Univers LT Std 57 Cn" w:hAnsi="Univers LT Std 57 Cn"/>
        <w:color w:val="999999"/>
        <w:sz w:val="18"/>
      </w:rPr>
      <w:t>October - December</w:t>
    </w:r>
    <w:r w:rsidR="00270D9D">
      <w:rPr>
        <w:rFonts w:ascii="Univers LT Std 57 Cn" w:hAnsi="Univers LT Std 57 Cn"/>
        <w:color w:val="999999"/>
        <w:sz w:val="18"/>
      </w:rPr>
      <w:t xml:space="preserve"> 2020</w:t>
    </w:r>
  </w:p>
  <w:bookmarkEnd w:id="18"/>
  <w:bookmarkEnd w:id="19"/>
  <w:p w14:paraId="2DFC706B" w14:textId="77777777" w:rsidR="008616D6" w:rsidRPr="00326F6C" w:rsidRDefault="008616D6" w:rsidP="00975D5C">
    <w:pPr>
      <w:jc w:val="center"/>
      <w:rPr>
        <w:rFonts w:ascii="Univers LT Std 45 Light" w:hAnsi="Univers LT Std 45 Light"/>
        <w:b/>
        <w:color w:val="D60030"/>
        <w:position w:val="-2"/>
        <w:sz w:val="32"/>
      </w:rPr>
    </w:pPr>
    <w:r w:rsidRPr="00326F6C">
      <w:rPr>
        <w:rFonts w:ascii="Univers LT Std 45 Light" w:hAnsi="Univers LT Std 45 Light"/>
        <w:b/>
        <w:i/>
        <w:color w:val="D60030"/>
        <w:position w:val="-2"/>
        <w:sz w:val="34"/>
      </w:rPr>
      <w:t>ISMP</w:t>
    </w:r>
    <w:r w:rsidR="006A7E43">
      <w:rPr>
        <w:rFonts w:ascii="Univers LT Std 45 Light" w:hAnsi="Univers LT Std 45 Light"/>
        <w:b/>
        <w:i/>
        <w:color w:val="D60030"/>
        <w:position w:val="-2"/>
        <w:sz w:val="34"/>
      </w:rPr>
      <w:t xml:space="preserve"> </w:t>
    </w:r>
    <w:r w:rsidR="006A7E43" w:rsidRPr="006A7E43">
      <w:rPr>
        <w:rFonts w:ascii="Univers LT Std 45 Light" w:hAnsi="Univers LT Std 45 Light"/>
        <w:i/>
        <w:color w:val="D60030"/>
        <w:position w:val="-2"/>
        <w:sz w:val="34"/>
      </w:rPr>
      <w:t>Medication Safety Alert!</w:t>
    </w:r>
    <w:r w:rsidRPr="00326F6C">
      <w:rPr>
        <w:rFonts w:ascii="Univers LT Std 45 Light" w:hAnsi="Univers LT Std 45 Light"/>
        <w:b/>
        <w:color w:val="D60030"/>
        <w:position w:val="-3"/>
        <w:sz w:val="54"/>
      </w:rPr>
      <w:t xml:space="preserve"> </w:t>
    </w:r>
    <w:proofErr w:type="spellStart"/>
    <w:r w:rsidRPr="00326F6C">
      <w:rPr>
        <w:rFonts w:ascii="Univers LT Std 45 Light" w:hAnsi="Univers LT Std 45 Light"/>
        <w:b/>
        <w:color w:val="D60030"/>
        <w:position w:val="-3"/>
        <w:sz w:val="54"/>
      </w:rPr>
      <w:t>Action</w:t>
    </w:r>
    <w:r w:rsidRPr="00326F6C">
      <w:rPr>
        <w:rFonts w:ascii="Univers LT Std 45 Light" w:hAnsi="Univers LT Std 45 Light"/>
        <w:color w:val="D60030"/>
        <w:position w:val="-3"/>
        <w:sz w:val="54"/>
      </w:rPr>
      <w:t>Agenda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292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844E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0CC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80A3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78E6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E037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50D1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84F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50B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276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D7"/>
    <w:rsid w:val="0000263F"/>
    <w:rsid w:val="00007686"/>
    <w:rsid w:val="000136D2"/>
    <w:rsid w:val="000222B6"/>
    <w:rsid w:val="00022EF4"/>
    <w:rsid w:val="0002531C"/>
    <w:rsid w:val="00025B04"/>
    <w:rsid w:val="00025EE6"/>
    <w:rsid w:val="00041291"/>
    <w:rsid w:val="0004277F"/>
    <w:rsid w:val="0004435C"/>
    <w:rsid w:val="000604BB"/>
    <w:rsid w:val="00061872"/>
    <w:rsid w:val="00064509"/>
    <w:rsid w:val="00064888"/>
    <w:rsid w:val="00065E21"/>
    <w:rsid w:val="0006725A"/>
    <w:rsid w:val="00086CE1"/>
    <w:rsid w:val="00086F92"/>
    <w:rsid w:val="00090643"/>
    <w:rsid w:val="00090DE8"/>
    <w:rsid w:val="00097AED"/>
    <w:rsid w:val="000B0AF6"/>
    <w:rsid w:val="000B4627"/>
    <w:rsid w:val="000C417B"/>
    <w:rsid w:val="000C5577"/>
    <w:rsid w:val="000C6009"/>
    <w:rsid w:val="000D05BF"/>
    <w:rsid w:val="000D4F5A"/>
    <w:rsid w:val="000D51E5"/>
    <w:rsid w:val="000D780F"/>
    <w:rsid w:val="000E10CB"/>
    <w:rsid w:val="000E36E6"/>
    <w:rsid w:val="000E54F1"/>
    <w:rsid w:val="000E56BF"/>
    <w:rsid w:val="000E5CFA"/>
    <w:rsid w:val="00102D23"/>
    <w:rsid w:val="00106C73"/>
    <w:rsid w:val="00107B68"/>
    <w:rsid w:val="001121F0"/>
    <w:rsid w:val="00121FA9"/>
    <w:rsid w:val="00123D1E"/>
    <w:rsid w:val="00125154"/>
    <w:rsid w:val="00125863"/>
    <w:rsid w:val="001264A0"/>
    <w:rsid w:val="00136F07"/>
    <w:rsid w:val="00143524"/>
    <w:rsid w:val="001451F0"/>
    <w:rsid w:val="00147349"/>
    <w:rsid w:val="001655FA"/>
    <w:rsid w:val="0016783E"/>
    <w:rsid w:val="00171CDF"/>
    <w:rsid w:val="001759C0"/>
    <w:rsid w:val="00175AEE"/>
    <w:rsid w:val="00181869"/>
    <w:rsid w:val="00185F44"/>
    <w:rsid w:val="00186F0B"/>
    <w:rsid w:val="00193C81"/>
    <w:rsid w:val="00193DF7"/>
    <w:rsid w:val="001974EC"/>
    <w:rsid w:val="001A492A"/>
    <w:rsid w:val="001A6C55"/>
    <w:rsid w:val="001A75AF"/>
    <w:rsid w:val="001B0F0B"/>
    <w:rsid w:val="001B4218"/>
    <w:rsid w:val="001B702E"/>
    <w:rsid w:val="001C76EB"/>
    <w:rsid w:val="001D00E3"/>
    <w:rsid w:val="001D2E86"/>
    <w:rsid w:val="001E05A5"/>
    <w:rsid w:val="001E1837"/>
    <w:rsid w:val="001E1C17"/>
    <w:rsid w:val="001E4403"/>
    <w:rsid w:val="001F246B"/>
    <w:rsid w:val="001F4C4B"/>
    <w:rsid w:val="00211E71"/>
    <w:rsid w:val="002208A1"/>
    <w:rsid w:val="002223FB"/>
    <w:rsid w:val="0023371D"/>
    <w:rsid w:val="00235ABC"/>
    <w:rsid w:val="00243DFE"/>
    <w:rsid w:val="002527D2"/>
    <w:rsid w:val="002552B5"/>
    <w:rsid w:val="00257280"/>
    <w:rsid w:val="00260A21"/>
    <w:rsid w:val="00263A2F"/>
    <w:rsid w:val="00270D9D"/>
    <w:rsid w:val="00275DCC"/>
    <w:rsid w:val="00282888"/>
    <w:rsid w:val="002852DF"/>
    <w:rsid w:val="00292167"/>
    <w:rsid w:val="00293E7C"/>
    <w:rsid w:val="00296DB9"/>
    <w:rsid w:val="002A432E"/>
    <w:rsid w:val="002B6213"/>
    <w:rsid w:val="002B79E7"/>
    <w:rsid w:val="002C0BAF"/>
    <w:rsid w:val="002D3956"/>
    <w:rsid w:val="002D3DE1"/>
    <w:rsid w:val="002E0407"/>
    <w:rsid w:val="002E16D6"/>
    <w:rsid w:val="002F061E"/>
    <w:rsid w:val="002F520F"/>
    <w:rsid w:val="003003E2"/>
    <w:rsid w:val="00302040"/>
    <w:rsid w:val="00303113"/>
    <w:rsid w:val="003109CF"/>
    <w:rsid w:val="00311B3C"/>
    <w:rsid w:val="00317B44"/>
    <w:rsid w:val="00320B7E"/>
    <w:rsid w:val="0032410B"/>
    <w:rsid w:val="00326F6C"/>
    <w:rsid w:val="00330C42"/>
    <w:rsid w:val="00331058"/>
    <w:rsid w:val="003517AB"/>
    <w:rsid w:val="00352C0F"/>
    <w:rsid w:val="0035500B"/>
    <w:rsid w:val="00374BE7"/>
    <w:rsid w:val="00377B07"/>
    <w:rsid w:val="0038144F"/>
    <w:rsid w:val="00385201"/>
    <w:rsid w:val="00391190"/>
    <w:rsid w:val="003920B6"/>
    <w:rsid w:val="003957A8"/>
    <w:rsid w:val="00397550"/>
    <w:rsid w:val="003A2BB2"/>
    <w:rsid w:val="003C0364"/>
    <w:rsid w:val="003C0D38"/>
    <w:rsid w:val="003D000D"/>
    <w:rsid w:val="003D105E"/>
    <w:rsid w:val="003D20D5"/>
    <w:rsid w:val="003D2874"/>
    <w:rsid w:val="003D6996"/>
    <w:rsid w:val="003E08B5"/>
    <w:rsid w:val="003E7BFC"/>
    <w:rsid w:val="003F5B18"/>
    <w:rsid w:val="003F6F3E"/>
    <w:rsid w:val="003F7C43"/>
    <w:rsid w:val="004017C6"/>
    <w:rsid w:val="004115D5"/>
    <w:rsid w:val="004129D0"/>
    <w:rsid w:val="00413B0D"/>
    <w:rsid w:val="00421987"/>
    <w:rsid w:val="00422005"/>
    <w:rsid w:val="004238F8"/>
    <w:rsid w:val="00427B70"/>
    <w:rsid w:val="0043076E"/>
    <w:rsid w:val="00434F86"/>
    <w:rsid w:val="00441A09"/>
    <w:rsid w:val="00446E8F"/>
    <w:rsid w:val="00450B0C"/>
    <w:rsid w:val="00450FD0"/>
    <w:rsid w:val="00453022"/>
    <w:rsid w:val="0046245C"/>
    <w:rsid w:val="004657C7"/>
    <w:rsid w:val="00473B6D"/>
    <w:rsid w:val="00481F29"/>
    <w:rsid w:val="00482777"/>
    <w:rsid w:val="004847A3"/>
    <w:rsid w:val="00485E03"/>
    <w:rsid w:val="00491DD2"/>
    <w:rsid w:val="00491E67"/>
    <w:rsid w:val="0049572E"/>
    <w:rsid w:val="004A0A0F"/>
    <w:rsid w:val="004A5A50"/>
    <w:rsid w:val="004A716E"/>
    <w:rsid w:val="004B0130"/>
    <w:rsid w:val="004B09A4"/>
    <w:rsid w:val="004B29BE"/>
    <w:rsid w:val="004B309D"/>
    <w:rsid w:val="004C4A63"/>
    <w:rsid w:val="004C79A5"/>
    <w:rsid w:val="004E5B3C"/>
    <w:rsid w:val="004F0D06"/>
    <w:rsid w:val="00502537"/>
    <w:rsid w:val="00503C5E"/>
    <w:rsid w:val="0050597D"/>
    <w:rsid w:val="0050693E"/>
    <w:rsid w:val="00510080"/>
    <w:rsid w:val="00514D57"/>
    <w:rsid w:val="005226C7"/>
    <w:rsid w:val="00526783"/>
    <w:rsid w:val="00532EFF"/>
    <w:rsid w:val="00533376"/>
    <w:rsid w:val="00535B05"/>
    <w:rsid w:val="005378A2"/>
    <w:rsid w:val="00547B87"/>
    <w:rsid w:val="00560123"/>
    <w:rsid w:val="0056132C"/>
    <w:rsid w:val="00563CCC"/>
    <w:rsid w:val="005755AB"/>
    <w:rsid w:val="00577684"/>
    <w:rsid w:val="00583355"/>
    <w:rsid w:val="00584110"/>
    <w:rsid w:val="00587FCD"/>
    <w:rsid w:val="00590D96"/>
    <w:rsid w:val="00592DBA"/>
    <w:rsid w:val="00595C32"/>
    <w:rsid w:val="005A01CD"/>
    <w:rsid w:val="005A3558"/>
    <w:rsid w:val="005A57EA"/>
    <w:rsid w:val="005B24A2"/>
    <w:rsid w:val="005B2CAD"/>
    <w:rsid w:val="005B34A0"/>
    <w:rsid w:val="005B4EA3"/>
    <w:rsid w:val="005C016C"/>
    <w:rsid w:val="005C1EC6"/>
    <w:rsid w:val="005D2A75"/>
    <w:rsid w:val="005E73C8"/>
    <w:rsid w:val="005E790A"/>
    <w:rsid w:val="005F0F71"/>
    <w:rsid w:val="005F59B9"/>
    <w:rsid w:val="006009B5"/>
    <w:rsid w:val="00600C47"/>
    <w:rsid w:val="00623B18"/>
    <w:rsid w:val="006265CD"/>
    <w:rsid w:val="006314AA"/>
    <w:rsid w:val="0063283A"/>
    <w:rsid w:val="00634B19"/>
    <w:rsid w:val="00635F79"/>
    <w:rsid w:val="0064034B"/>
    <w:rsid w:val="00646C5C"/>
    <w:rsid w:val="0066080D"/>
    <w:rsid w:val="006630A4"/>
    <w:rsid w:val="0067274F"/>
    <w:rsid w:val="00676295"/>
    <w:rsid w:val="00681302"/>
    <w:rsid w:val="00684D1E"/>
    <w:rsid w:val="00685901"/>
    <w:rsid w:val="006A05FD"/>
    <w:rsid w:val="006A6EA8"/>
    <w:rsid w:val="006A7E43"/>
    <w:rsid w:val="006B0563"/>
    <w:rsid w:val="006C0394"/>
    <w:rsid w:val="006C1155"/>
    <w:rsid w:val="006C31F7"/>
    <w:rsid w:val="006C39CF"/>
    <w:rsid w:val="006D0AC2"/>
    <w:rsid w:val="006D1340"/>
    <w:rsid w:val="006D13E9"/>
    <w:rsid w:val="006D5489"/>
    <w:rsid w:val="006D671A"/>
    <w:rsid w:val="006E3471"/>
    <w:rsid w:val="006E3B88"/>
    <w:rsid w:val="006E656E"/>
    <w:rsid w:val="006E6DD0"/>
    <w:rsid w:val="006F0B2B"/>
    <w:rsid w:val="006F4DF2"/>
    <w:rsid w:val="006F6697"/>
    <w:rsid w:val="006F769F"/>
    <w:rsid w:val="007020A9"/>
    <w:rsid w:val="007142CD"/>
    <w:rsid w:val="0071495C"/>
    <w:rsid w:val="00720867"/>
    <w:rsid w:val="00721D8F"/>
    <w:rsid w:val="0072480E"/>
    <w:rsid w:val="007266B9"/>
    <w:rsid w:val="0072762E"/>
    <w:rsid w:val="00734609"/>
    <w:rsid w:val="00736405"/>
    <w:rsid w:val="007419DE"/>
    <w:rsid w:val="007434DF"/>
    <w:rsid w:val="0075586D"/>
    <w:rsid w:val="00757D59"/>
    <w:rsid w:val="00761130"/>
    <w:rsid w:val="00763821"/>
    <w:rsid w:val="007638F8"/>
    <w:rsid w:val="00770C73"/>
    <w:rsid w:val="007717DD"/>
    <w:rsid w:val="00780745"/>
    <w:rsid w:val="00784614"/>
    <w:rsid w:val="0078775E"/>
    <w:rsid w:val="00787925"/>
    <w:rsid w:val="0079346C"/>
    <w:rsid w:val="00797B8B"/>
    <w:rsid w:val="007A312A"/>
    <w:rsid w:val="007A3331"/>
    <w:rsid w:val="007A3DF7"/>
    <w:rsid w:val="007A6C8C"/>
    <w:rsid w:val="007B3E30"/>
    <w:rsid w:val="007B6875"/>
    <w:rsid w:val="007C5952"/>
    <w:rsid w:val="007D4C46"/>
    <w:rsid w:val="007E4305"/>
    <w:rsid w:val="007F1916"/>
    <w:rsid w:val="007F3754"/>
    <w:rsid w:val="007F6FE5"/>
    <w:rsid w:val="007F7AE7"/>
    <w:rsid w:val="00803BE5"/>
    <w:rsid w:val="008107B6"/>
    <w:rsid w:val="008219D3"/>
    <w:rsid w:val="00822244"/>
    <w:rsid w:val="0082558E"/>
    <w:rsid w:val="008279B2"/>
    <w:rsid w:val="00830ED3"/>
    <w:rsid w:val="00830F6C"/>
    <w:rsid w:val="00846E99"/>
    <w:rsid w:val="008616D6"/>
    <w:rsid w:val="008712E1"/>
    <w:rsid w:val="008746DC"/>
    <w:rsid w:val="00880D47"/>
    <w:rsid w:val="00884E7D"/>
    <w:rsid w:val="0089012D"/>
    <w:rsid w:val="00892D86"/>
    <w:rsid w:val="00893CF3"/>
    <w:rsid w:val="00897440"/>
    <w:rsid w:val="0089758E"/>
    <w:rsid w:val="00897E07"/>
    <w:rsid w:val="008A1747"/>
    <w:rsid w:val="008A4CFC"/>
    <w:rsid w:val="008B248A"/>
    <w:rsid w:val="008B3CAB"/>
    <w:rsid w:val="008B4934"/>
    <w:rsid w:val="008B7D56"/>
    <w:rsid w:val="008C06DD"/>
    <w:rsid w:val="008C4BCC"/>
    <w:rsid w:val="008C4CFB"/>
    <w:rsid w:val="008C5601"/>
    <w:rsid w:val="008D081B"/>
    <w:rsid w:val="008D17CC"/>
    <w:rsid w:val="008D39F5"/>
    <w:rsid w:val="008D7CCF"/>
    <w:rsid w:val="008E38BF"/>
    <w:rsid w:val="008E5329"/>
    <w:rsid w:val="008E77D1"/>
    <w:rsid w:val="008F40FB"/>
    <w:rsid w:val="008F713F"/>
    <w:rsid w:val="008F7288"/>
    <w:rsid w:val="00905278"/>
    <w:rsid w:val="00914370"/>
    <w:rsid w:val="00915704"/>
    <w:rsid w:val="00917C86"/>
    <w:rsid w:val="00924158"/>
    <w:rsid w:val="00927C99"/>
    <w:rsid w:val="00930886"/>
    <w:rsid w:val="009447B1"/>
    <w:rsid w:val="009459E4"/>
    <w:rsid w:val="00952132"/>
    <w:rsid w:val="00955A51"/>
    <w:rsid w:val="0096106F"/>
    <w:rsid w:val="00963C09"/>
    <w:rsid w:val="00966C3E"/>
    <w:rsid w:val="00971EF2"/>
    <w:rsid w:val="00973F2F"/>
    <w:rsid w:val="009747A4"/>
    <w:rsid w:val="00974B79"/>
    <w:rsid w:val="00975D5C"/>
    <w:rsid w:val="009779C5"/>
    <w:rsid w:val="00977CAA"/>
    <w:rsid w:val="00995C79"/>
    <w:rsid w:val="00997720"/>
    <w:rsid w:val="009A0C11"/>
    <w:rsid w:val="009A1561"/>
    <w:rsid w:val="009A59FA"/>
    <w:rsid w:val="009A76D2"/>
    <w:rsid w:val="009B58CC"/>
    <w:rsid w:val="009C22A0"/>
    <w:rsid w:val="009C284F"/>
    <w:rsid w:val="009C424B"/>
    <w:rsid w:val="009D225D"/>
    <w:rsid w:val="009D60F3"/>
    <w:rsid w:val="009D7CD7"/>
    <w:rsid w:val="009E1870"/>
    <w:rsid w:val="009F1DE6"/>
    <w:rsid w:val="009F5965"/>
    <w:rsid w:val="009F5FB8"/>
    <w:rsid w:val="009F7439"/>
    <w:rsid w:val="00A02ECF"/>
    <w:rsid w:val="00A0309D"/>
    <w:rsid w:val="00A107FA"/>
    <w:rsid w:val="00A12374"/>
    <w:rsid w:val="00A30BF2"/>
    <w:rsid w:val="00A32D65"/>
    <w:rsid w:val="00A41E36"/>
    <w:rsid w:val="00A41EF2"/>
    <w:rsid w:val="00A53FFE"/>
    <w:rsid w:val="00A5481A"/>
    <w:rsid w:val="00A61736"/>
    <w:rsid w:val="00A620BD"/>
    <w:rsid w:val="00A646DB"/>
    <w:rsid w:val="00A6494A"/>
    <w:rsid w:val="00A65BFF"/>
    <w:rsid w:val="00A66F76"/>
    <w:rsid w:val="00A6798F"/>
    <w:rsid w:val="00A7297D"/>
    <w:rsid w:val="00A74B89"/>
    <w:rsid w:val="00A81AFD"/>
    <w:rsid w:val="00A823E8"/>
    <w:rsid w:val="00A84C70"/>
    <w:rsid w:val="00A9250F"/>
    <w:rsid w:val="00A95C98"/>
    <w:rsid w:val="00A95EB6"/>
    <w:rsid w:val="00AB230D"/>
    <w:rsid w:val="00AC696F"/>
    <w:rsid w:val="00AD4A93"/>
    <w:rsid w:val="00AD5382"/>
    <w:rsid w:val="00AE01A9"/>
    <w:rsid w:val="00AE4ABA"/>
    <w:rsid w:val="00AF213F"/>
    <w:rsid w:val="00AF29B5"/>
    <w:rsid w:val="00B009C1"/>
    <w:rsid w:val="00B034DD"/>
    <w:rsid w:val="00B15B60"/>
    <w:rsid w:val="00B201FC"/>
    <w:rsid w:val="00B259C1"/>
    <w:rsid w:val="00B25C88"/>
    <w:rsid w:val="00B47D14"/>
    <w:rsid w:val="00B52576"/>
    <w:rsid w:val="00B54A35"/>
    <w:rsid w:val="00B722C2"/>
    <w:rsid w:val="00B7509C"/>
    <w:rsid w:val="00B81EEF"/>
    <w:rsid w:val="00B855D5"/>
    <w:rsid w:val="00B922E8"/>
    <w:rsid w:val="00BA340E"/>
    <w:rsid w:val="00BB0170"/>
    <w:rsid w:val="00BB0667"/>
    <w:rsid w:val="00BC57B9"/>
    <w:rsid w:val="00BC59DB"/>
    <w:rsid w:val="00BC711F"/>
    <w:rsid w:val="00BC7D96"/>
    <w:rsid w:val="00BD44CA"/>
    <w:rsid w:val="00BE175B"/>
    <w:rsid w:val="00BE20C7"/>
    <w:rsid w:val="00BE2252"/>
    <w:rsid w:val="00BF6076"/>
    <w:rsid w:val="00C02132"/>
    <w:rsid w:val="00C1299F"/>
    <w:rsid w:val="00C1505F"/>
    <w:rsid w:val="00C15944"/>
    <w:rsid w:val="00C238BC"/>
    <w:rsid w:val="00C3004B"/>
    <w:rsid w:val="00C301D5"/>
    <w:rsid w:val="00C359FA"/>
    <w:rsid w:val="00C40A3A"/>
    <w:rsid w:val="00C43829"/>
    <w:rsid w:val="00C44915"/>
    <w:rsid w:val="00C5067A"/>
    <w:rsid w:val="00C5096F"/>
    <w:rsid w:val="00C56E2D"/>
    <w:rsid w:val="00C6780D"/>
    <w:rsid w:val="00C67F47"/>
    <w:rsid w:val="00C74DB6"/>
    <w:rsid w:val="00C80C6F"/>
    <w:rsid w:val="00C80DC7"/>
    <w:rsid w:val="00C843B8"/>
    <w:rsid w:val="00C84627"/>
    <w:rsid w:val="00C955F7"/>
    <w:rsid w:val="00C963CD"/>
    <w:rsid w:val="00CB0213"/>
    <w:rsid w:val="00CB5ECF"/>
    <w:rsid w:val="00CB6542"/>
    <w:rsid w:val="00CB7905"/>
    <w:rsid w:val="00CC1137"/>
    <w:rsid w:val="00CC1812"/>
    <w:rsid w:val="00CC7533"/>
    <w:rsid w:val="00CC7FC5"/>
    <w:rsid w:val="00CD401F"/>
    <w:rsid w:val="00CD49D7"/>
    <w:rsid w:val="00CD50BA"/>
    <w:rsid w:val="00CF6895"/>
    <w:rsid w:val="00D0668D"/>
    <w:rsid w:val="00D1072E"/>
    <w:rsid w:val="00D24CB8"/>
    <w:rsid w:val="00D265BB"/>
    <w:rsid w:val="00D33F00"/>
    <w:rsid w:val="00D3638B"/>
    <w:rsid w:val="00D36575"/>
    <w:rsid w:val="00D41629"/>
    <w:rsid w:val="00D41750"/>
    <w:rsid w:val="00D43A6E"/>
    <w:rsid w:val="00D45FBC"/>
    <w:rsid w:val="00D5110F"/>
    <w:rsid w:val="00D5324B"/>
    <w:rsid w:val="00D66374"/>
    <w:rsid w:val="00D84E5E"/>
    <w:rsid w:val="00D96759"/>
    <w:rsid w:val="00D969B6"/>
    <w:rsid w:val="00DA52FA"/>
    <w:rsid w:val="00DB0EA0"/>
    <w:rsid w:val="00DB2E0D"/>
    <w:rsid w:val="00DB58A5"/>
    <w:rsid w:val="00DB6A3A"/>
    <w:rsid w:val="00DB7729"/>
    <w:rsid w:val="00DE5A6B"/>
    <w:rsid w:val="00DE62D1"/>
    <w:rsid w:val="00DE6A49"/>
    <w:rsid w:val="00DE77D2"/>
    <w:rsid w:val="00DF38FA"/>
    <w:rsid w:val="00DF45D1"/>
    <w:rsid w:val="00E02C58"/>
    <w:rsid w:val="00E138BE"/>
    <w:rsid w:val="00E20F27"/>
    <w:rsid w:val="00E27F99"/>
    <w:rsid w:val="00E30164"/>
    <w:rsid w:val="00E325CF"/>
    <w:rsid w:val="00E4096B"/>
    <w:rsid w:val="00E47C31"/>
    <w:rsid w:val="00E512B3"/>
    <w:rsid w:val="00E52B7F"/>
    <w:rsid w:val="00E53555"/>
    <w:rsid w:val="00E66879"/>
    <w:rsid w:val="00E81452"/>
    <w:rsid w:val="00E82070"/>
    <w:rsid w:val="00E856E5"/>
    <w:rsid w:val="00E86D95"/>
    <w:rsid w:val="00E872FA"/>
    <w:rsid w:val="00E91CB5"/>
    <w:rsid w:val="00E9671A"/>
    <w:rsid w:val="00EA4612"/>
    <w:rsid w:val="00EA5888"/>
    <w:rsid w:val="00EA5B96"/>
    <w:rsid w:val="00EC0343"/>
    <w:rsid w:val="00EC214F"/>
    <w:rsid w:val="00ED7DDF"/>
    <w:rsid w:val="00EF0933"/>
    <w:rsid w:val="00EF1C8C"/>
    <w:rsid w:val="00EF20AD"/>
    <w:rsid w:val="00EF58E6"/>
    <w:rsid w:val="00F003F7"/>
    <w:rsid w:val="00F1041D"/>
    <w:rsid w:val="00F25E6B"/>
    <w:rsid w:val="00F31092"/>
    <w:rsid w:val="00F41A79"/>
    <w:rsid w:val="00F435C0"/>
    <w:rsid w:val="00F52484"/>
    <w:rsid w:val="00F53E84"/>
    <w:rsid w:val="00F63EBC"/>
    <w:rsid w:val="00F71090"/>
    <w:rsid w:val="00F73AF8"/>
    <w:rsid w:val="00F8736B"/>
    <w:rsid w:val="00F901ED"/>
    <w:rsid w:val="00F95EC3"/>
    <w:rsid w:val="00FA1540"/>
    <w:rsid w:val="00FA3D62"/>
    <w:rsid w:val="00FB06DE"/>
    <w:rsid w:val="00FB2CD6"/>
    <w:rsid w:val="00FC136F"/>
    <w:rsid w:val="00FD43EE"/>
    <w:rsid w:val="00FE2733"/>
    <w:rsid w:val="00FE540B"/>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7F2F3"/>
  <w15:docId w15:val="{333BC3B2-0F0D-4304-A405-DAD91DD7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1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D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97AED"/>
    <w:rPr>
      <w:i/>
      <w:iCs/>
    </w:rPr>
  </w:style>
  <w:style w:type="paragraph" w:customStyle="1" w:styleId="AC-table-hed">
    <w:name w:val="AC-table-hed"/>
    <w:locked/>
    <w:rsid w:val="00763821"/>
    <w:pPr>
      <w:tabs>
        <w:tab w:val="center" w:pos="5735"/>
        <w:tab w:val="center" w:pos="7906"/>
        <w:tab w:val="center" w:pos="10080"/>
      </w:tabs>
      <w:spacing w:line="200" w:lineRule="exact"/>
    </w:pPr>
    <w:rPr>
      <w:rFonts w:ascii="Akzidenz Grotesk BE BoldEx" w:hAnsi="Akzidenz Grotesk BE BoldEx"/>
      <w:sz w:val="19"/>
    </w:rPr>
  </w:style>
  <w:style w:type="paragraph" w:customStyle="1" w:styleId="AC-table-body">
    <w:name w:val="AC-table-body"/>
    <w:qFormat/>
    <w:rsid w:val="00763821"/>
    <w:pPr>
      <w:tabs>
        <w:tab w:val="center" w:pos="5735"/>
        <w:tab w:val="center" w:pos="7906"/>
        <w:tab w:val="center" w:pos="10080"/>
      </w:tabs>
      <w:spacing w:line="240" w:lineRule="exact"/>
    </w:pPr>
    <w:rPr>
      <w:rFonts w:ascii="Akzidenz Grotesk BE Cn" w:hAnsi="Akzidenz Grotesk BE Cn"/>
    </w:rPr>
  </w:style>
  <w:style w:type="paragraph" w:customStyle="1" w:styleId="Acutecare-new-agenda-hed">
    <w:name w:val="Acutecare-new-agenda-hed"/>
    <w:qFormat/>
    <w:locked/>
    <w:rsid w:val="003D105E"/>
    <w:pPr>
      <w:tabs>
        <w:tab w:val="center" w:pos="5735"/>
        <w:tab w:val="center" w:pos="7906"/>
        <w:tab w:val="center" w:pos="10080"/>
      </w:tabs>
      <w:jc w:val="center"/>
    </w:pPr>
    <w:rPr>
      <w:rFonts w:ascii="Akzidenz Grotesk BE BoldEx" w:hAnsi="Akzidenz Grotesk BE BoldEx"/>
      <w:w w:val="90"/>
      <w:sz w:val="19"/>
    </w:rPr>
  </w:style>
  <w:style w:type="paragraph" w:customStyle="1" w:styleId="StyleAC-table-hed85ptWhiteCentered">
    <w:name w:val="Style AC-table-hed + 8.5 pt White Centered"/>
    <w:basedOn w:val="AC-table-hed"/>
    <w:locked/>
    <w:rsid w:val="00DF45D1"/>
    <w:pPr>
      <w:spacing w:before="20"/>
      <w:jc w:val="center"/>
    </w:pPr>
    <w:rPr>
      <w:color w:val="FFFFFF"/>
      <w:sz w:val="17"/>
    </w:rPr>
  </w:style>
  <w:style w:type="paragraph" w:styleId="Header">
    <w:name w:val="header"/>
    <w:basedOn w:val="Normal"/>
    <w:locked/>
    <w:rsid w:val="008D7CCF"/>
    <w:pPr>
      <w:tabs>
        <w:tab w:val="center" w:pos="4320"/>
        <w:tab w:val="right" w:pos="8640"/>
      </w:tabs>
    </w:pPr>
  </w:style>
  <w:style w:type="paragraph" w:styleId="Footer">
    <w:name w:val="footer"/>
    <w:basedOn w:val="Normal"/>
    <w:locked/>
    <w:rsid w:val="008D7CCF"/>
    <w:pPr>
      <w:tabs>
        <w:tab w:val="center" w:pos="4320"/>
        <w:tab w:val="right" w:pos="8640"/>
      </w:tabs>
    </w:pPr>
  </w:style>
  <w:style w:type="paragraph" w:customStyle="1" w:styleId="hosp-volume-no">
    <w:name w:val="hosp-volume-no."/>
    <w:locked/>
    <w:rsid w:val="008D7CCF"/>
    <w:pPr>
      <w:jc w:val="both"/>
    </w:pPr>
    <w:rPr>
      <w:rFonts w:ascii="Akzidenz Grotesk BE Light" w:hAnsi="Akzidenz Grotesk BE Light"/>
      <w:sz w:val="16"/>
    </w:rPr>
  </w:style>
  <w:style w:type="character" w:styleId="PageNumber">
    <w:name w:val="page number"/>
    <w:basedOn w:val="DefaultParagraphFont"/>
    <w:locked/>
    <w:rsid w:val="008D7CCF"/>
  </w:style>
  <w:style w:type="character" w:customStyle="1" w:styleId="Normal1">
    <w:name w:val="Normal1"/>
    <w:locked/>
    <w:rsid w:val="00B201FC"/>
    <w:rPr>
      <w:rFonts w:ascii="Arial" w:hAnsi="Arial"/>
      <w:sz w:val="24"/>
    </w:rPr>
  </w:style>
  <w:style w:type="character" w:customStyle="1" w:styleId="safety-B-url">
    <w:name w:val="safety-B-url"/>
    <w:locked/>
    <w:rsid w:val="00C43829"/>
    <w:rPr>
      <w:rFonts w:ascii="Akzidenz Grotesk BE Cn" w:hAnsi="Akzidenz Grotesk BE Cn"/>
      <w:color w:val="0C419A"/>
      <w:spacing w:val="0"/>
      <w:sz w:val="20"/>
      <w:u w:val="single"/>
    </w:rPr>
  </w:style>
  <w:style w:type="character" w:styleId="Hyperlink">
    <w:name w:val="Hyperlink"/>
    <w:locked/>
    <w:rsid w:val="00A5481A"/>
    <w:rPr>
      <w:color w:val="0000FF"/>
      <w:u w:val="single"/>
    </w:rPr>
  </w:style>
  <w:style w:type="paragraph" w:customStyle="1" w:styleId="Style1">
    <w:name w:val="Style1"/>
    <w:basedOn w:val="Acutecare-new-agenda-hed"/>
    <w:rsid w:val="00B81EEF"/>
    <w:rPr>
      <w:sz w:val="18"/>
    </w:rPr>
  </w:style>
  <w:style w:type="paragraph" w:styleId="BalloonText">
    <w:name w:val="Balloon Text"/>
    <w:basedOn w:val="Normal"/>
    <w:link w:val="BalloonTextChar"/>
    <w:locked/>
    <w:rsid w:val="009F5FB8"/>
    <w:rPr>
      <w:rFonts w:ascii="Tahoma" w:hAnsi="Tahoma" w:cs="Tahoma"/>
      <w:sz w:val="16"/>
      <w:szCs w:val="16"/>
    </w:rPr>
  </w:style>
  <w:style w:type="character" w:customStyle="1" w:styleId="BalloonTextChar">
    <w:name w:val="Balloon Text Char"/>
    <w:basedOn w:val="DefaultParagraphFont"/>
    <w:link w:val="BalloonText"/>
    <w:rsid w:val="009F5FB8"/>
    <w:rPr>
      <w:rFonts w:ascii="Tahoma" w:hAnsi="Tahoma" w:cs="Tahoma"/>
      <w:sz w:val="16"/>
      <w:szCs w:val="16"/>
    </w:rPr>
  </w:style>
  <w:style w:type="paragraph" w:customStyle="1" w:styleId="AGENDA-body">
    <w:name w:val="AGENDA-body"/>
    <w:qFormat/>
    <w:rsid w:val="00491DD2"/>
    <w:pPr>
      <w:tabs>
        <w:tab w:val="center" w:pos="5735"/>
        <w:tab w:val="center" w:pos="7906"/>
        <w:tab w:val="center" w:pos="10080"/>
      </w:tabs>
      <w:spacing w:line="240" w:lineRule="exact"/>
      <w:textAlignment w:val="baseline"/>
    </w:pPr>
    <w:rPr>
      <w:rFonts w:ascii="Univers LT Std 57 Cn" w:eastAsia="Univers LT Std 57 Cn" w:hAnsi="Univers LT Std 57 Cn" w:cs="Univers LT Std 57 Cn"/>
      <w:color w:val="262526"/>
      <w:spacing w:val="-5"/>
      <w:w w:val="99"/>
      <w:lang w:bidi="en-US"/>
    </w:rPr>
  </w:style>
  <w:style w:type="paragraph" w:customStyle="1" w:styleId="AGENDA-table-titles">
    <w:name w:val="AGENDA-table-titles"/>
    <w:qFormat/>
    <w:rsid w:val="00526783"/>
    <w:pPr>
      <w:tabs>
        <w:tab w:val="center" w:pos="5735"/>
        <w:tab w:val="center" w:pos="7906"/>
        <w:tab w:val="center" w:pos="10080"/>
      </w:tabs>
      <w:spacing w:line="200" w:lineRule="exact"/>
      <w:jc w:val="center"/>
      <w:textAlignment w:val="baseline"/>
    </w:pPr>
    <w:rPr>
      <w:rFonts w:ascii="Univers LT Std 55" w:eastAsia="Univers LT Std 55" w:hAnsi="Univers LT Std 55" w:cs="Univers LT Std 55"/>
      <w:b/>
      <w:color w:val="262526"/>
      <w:spacing w:val="-1"/>
      <w:w w:val="89"/>
      <w:sz w:val="19"/>
      <w:lang w:bidi="en-US"/>
    </w:rPr>
  </w:style>
  <w:style w:type="character" w:customStyle="1" w:styleId="Agendabody">
    <w:name w:val="Agenda body"/>
    <w:rsid w:val="001A6C55"/>
    <w:rPr>
      <w:rFonts w:ascii="Univers LT Std 55" w:eastAsia="Univers LT Std 55" w:hAnsi="Univers LT Std 55" w:cs="Univers LT Std 55"/>
      <w:spacing w:val="-1"/>
      <w:sz w:val="18"/>
    </w:rPr>
  </w:style>
  <w:style w:type="character" w:styleId="UnresolvedMention">
    <w:name w:val="Unresolved Mention"/>
    <w:basedOn w:val="DefaultParagraphFont"/>
    <w:uiPriority w:val="99"/>
    <w:semiHidden/>
    <w:unhideWhenUsed/>
    <w:rsid w:val="001974EC"/>
    <w:rPr>
      <w:color w:val="605E5C"/>
      <w:shd w:val="clear" w:color="auto" w:fill="E1DFDD"/>
    </w:rPr>
  </w:style>
  <w:style w:type="paragraph" w:customStyle="1" w:styleId="Agenda-table-head">
    <w:name w:val="Agenda-table-head"/>
    <w:basedOn w:val="AGENDA-table-titles"/>
    <w:qFormat/>
    <w:rsid w:val="00B54A35"/>
    <w:pPr>
      <w:tabs>
        <w:tab w:val="clear" w:pos="5735"/>
        <w:tab w:val="clear" w:pos="7906"/>
        <w:tab w:val="clear" w:pos="10080"/>
      </w:tabs>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hastay\AppData\Local\Temp\Temp1_word-excel.zip\www.ismp.org\node\142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MP\ISMP-nl\ismp-acutecare-NL\templates-lib\ActionAgenda1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9607-8042-42C7-A923-75A4678E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ActionAgenda1304.dotx</Template>
  <TotalTime>23</TotalTime>
  <Pages>4</Pages>
  <Words>1657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ISMP Medication Safety Alert</vt:lpstr>
    </vt:vector>
  </TitlesOfParts>
  <Company>ISMP</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ISMP Medication Safety Alert</dc:title>
  <dc:creator>bob</dc:creator>
  <cp:lastModifiedBy>Ann Shastay</cp:lastModifiedBy>
  <cp:revision>2</cp:revision>
  <cp:lastPrinted>2006-07-27T04:12:00Z</cp:lastPrinted>
  <dcterms:created xsi:type="dcterms:W3CDTF">2021-01-28T12:50:00Z</dcterms:created>
  <dcterms:modified xsi:type="dcterms:W3CDTF">2021-01-28T12:50:00Z</dcterms:modified>
</cp:coreProperties>
</file>